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A3F1A" w14:textId="77777777" w:rsidR="00BA559B" w:rsidRDefault="00980C65" w:rsidP="00C21ED2">
      <w:pPr>
        <w:rPr>
          <w:rFonts w:ascii="Century Gothic" w:hAnsi="Century Gothic" w:cs="Century Gothic"/>
          <w:b/>
          <w:sz w:val="32"/>
          <w:szCs w:val="32"/>
        </w:rPr>
      </w:pPr>
      <w:r w:rsidRPr="002B532F">
        <w:rPr>
          <w:sz w:val="44"/>
          <w:szCs w:val="44"/>
        </w:rPr>
        <w:t xml:space="preserve">WHAT IS </w:t>
      </w:r>
      <w:r w:rsidR="002B532F" w:rsidRPr="002B532F">
        <w:rPr>
          <w:sz w:val="44"/>
          <w:szCs w:val="44"/>
        </w:rPr>
        <w:t xml:space="preserve">PERMANENT </w:t>
      </w:r>
      <w:r w:rsidRPr="002B532F">
        <w:rPr>
          <w:sz w:val="44"/>
          <w:szCs w:val="44"/>
        </w:rPr>
        <w:t xml:space="preserve">SUPPORTIVE HOUSING? </w:t>
      </w:r>
      <w:r w:rsidRPr="002B532F">
        <w:rPr>
          <w:sz w:val="44"/>
          <w:szCs w:val="44"/>
        </w:rPr>
        <w:br/>
      </w:r>
    </w:p>
    <w:p w14:paraId="6F8F1F3C" w14:textId="5AD77617" w:rsidR="00980C65" w:rsidRPr="00B77A4B" w:rsidRDefault="00980C65" w:rsidP="00C21ED2">
      <w:pPr>
        <w:rPr>
          <w:rFonts w:ascii="Century Gothic" w:hAnsi="Century Gothic" w:cs="Century Gothic"/>
          <w:b/>
          <w:sz w:val="32"/>
          <w:szCs w:val="32"/>
        </w:rPr>
      </w:pPr>
      <w:r w:rsidRPr="00B77A4B">
        <w:rPr>
          <w:rFonts w:ascii="Century Gothic" w:hAnsi="Century Gothic" w:cs="Century Gothic"/>
          <w:b/>
          <w:sz w:val="32"/>
          <w:szCs w:val="32"/>
        </w:rPr>
        <w:t xml:space="preserve">Concept: </w:t>
      </w:r>
    </w:p>
    <w:p w14:paraId="60AE2BCB" w14:textId="0F88BB59" w:rsidR="00980C65" w:rsidRPr="009D77DC" w:rsidRDefault="00980C65" w:rsidP="00B77A4B">
      <w:pPr>
        <w:pStyle w:val="Default"/>
        <w:rPr>
          <w:sz w:val="28"/>
          <w:szCs w:val="28"/>
        </w:rPr>
      </w:pPr>
      <w:r w:rsidRPr="009D77DC">
        <w:rPr>
          <w:sz w:val="28"/>
          <w:szCs w:val="28"/>
        </w:rPr>
        <w:t>The concept of permanent supportive housing (PSH) was originally developed by advocates and providers serving homeless populations and now receive significant federal funding from HUD for</w:t>
      </w:r>
      <w:r w:rsidR="00707692" w:rsidRPr="009D77DC">
        <w:rPr>
          <w:sz w:val="28"/>
          <w:szCs w:val="28"/>
        </w:rPr>
        <w:t xml:space="preserve"> </w:t>
      </w:r>
      <w:r w:rsidR="00D86072" w:rsidRPr="009D77DC">
        <w:rPr>
          <w:sz w:val="28"/>
          <w:szCs w:val="28"/>
        </w:rPr>
        <w:t xml:space="preserve">individuals and </w:t>
      </w:r>
      <w:r w:rsidR="00D84B14" w:rsidRPr="009D77DC">
        <w:rPr>
          <w:sz w:val="28"/>
          <w:szCs w:val="28"/>
        </w:rPr>
        <w:t xml:space="preserve">families experiencing or at </w:t>
      </w:r>
      <w:r w:rsidR="006A143A" w:rsidRPr="009D77DC">
        <w:rPr>
          <w:sz w:val="28"/>
          <w:szCs w:val="28"/>
        </w:rPr>
        <w:t xml:space="preserve">risk of </w:t>
      </w:r>
      <w:r w:rsidR="00707692" w:rsidRPr="009D77DC">
        <w:rPr>
          <w:sz w:val="28"/>
          <w:szCs w:val="28"/>
        </w:rPr>
        <w:t>homeless</w:t>
      </w:r>
      <w:r w:rsidR="006A143A" w:rsidRPr="009D77DC">
        <w:rPr>
          <w:sz w:val="28"/>
          <w:szCs w:val="28"/>
        </w:rPr>
        <w:t>ness</w:t>
      </w:r>
      <w:r w:rsidR="00707692" w:rsidRPr="009D77DC">
        <w:rPr>
          <w:sz w:val="28"/>
          <w:szCs w:val="28"/>
        </w:rPr>
        <w:t xml:space="preserve"> and</w:t>
      </w:r>
      <w:r w:rsidR="006A143A" w:rsidRPr="009D77DC">
        <w:rPr>
          <w:sz w:val="28"/>
          <w:szCs w:val="28"/>
        </w:rPr>
        <w:t xml:space="preserve"> other</w:t>
      </w:r>
      <w:r w:rsidRPr="009D77DC">
        <w:rPr>
          <w:sz w:val="28"/>
          <w:szCs w:val="28"/>
        </w:rPr>
        <w:t xml:space="preserve"> special needs populations. The success </w:t>
      </w:r>
      <w:r w:rsidR="00707692" w:rsidRPr="009D77DC">
        <w:rPr>
          <w:sz w:val="28"/>
          <w:szCs w:val="28"/>
        </w:rPr>
        <w:t xml:space="preserve">and cost effectiveness </w:t>
      </w:r>
      <w:r w:rsidRPr="009D77DC">
        <w:rPr>
          <w:sz w:val="28"/>
          <w:szCs w:val="28"/>
        </w:rPr>
        <w:t xml:space="preserve">of the PSH model is well-documented through formal research, and as a result the types of </w:t>
      </w:r>
      <w:r w:rsidR="00707692" w:rsidRPr="009D77DC">
        <w:rPr>
          <w:sz w:val="28"/>
          <w:szCs w:val="28"/>
        </w:rPr>
        <w:t xml:space="preserve">homeless and </w:t>
      </w:r>
      <w:r w:rsidRPr="009D77DC">
        <w:rPr>
          <w:sz w:val="28"/>
          <w:szCs w:val="28"/>
        </w:rPr>
        <w:t xml:space="preserve">special needs populations proven to benefit from PSH have expanded. Thus, the Working Group’s members sought to establish definitions of key terminology to make clear what the group considered PSH to be and which populations could benefit from PSH. </w:t>
      </w:r>
    </w:p>
    <w:p w14:paraId="14D2FED0" w14:textId="77777777" w:rsidR="00980C65" w:rsidRPr="009D77DC" w:rsidRDefault="00980C65" w:rsidP="00980C65">
      <w:pPr>
        <w:pStyle w:val="Default"/>
        <w:rPr>
          <w:sz w:val="22"/>
          <w:szCs w:val="22"/>
        </w:rPr>
      </w:pPr>
    </w:p>
    <w:p w14:paraId="7D8632E6" w14:textId="77777777" w:rsidR="00980C65" w:rsidRPr="009D77DC" w:rsidRDefault="00980C65" w:rsidP="00980C65">
      <w:pPr>
        <w:pStyle w:val="Default"/>
        <w:rPr>
          <w:rFonts w:ascii="Century Gothic" w:hAnsi="Century Gothic" w:cs="Century Gothic"/>
          <w:b/>
          <w:sz w:val="32"/>
          <w:szCs w:val="32"/>
        </w:rPr>
      </w:pPr>
      <w:r w:rsidRPr="009D77DC">
        <w:rPr>
          <w:rFonts w:ascii="Century Gothic" w:hAnsi="Century Gothic" w:cs="Century Gothic"/>
          <w:b/>
          <w:sz w:val="32"/>
          <w:szCs w:val="32"/>
        </w:rPr>
        <w:t xml:space="preserve">Definition: </w:t>
      </w:r>
    </w:p>
    <w:p w14:paraId="205B8A62" w14:textId="77777777" w:rsidR="00980C65" w:rsidRPr="002B532F" w:rsidRDefault="002B532F" w:rsidP="00980C65">
      <w:pPr>
        <w:pStyle w:val="Default"/>
        <w:rPr>
          <w:sz w:val="28"/>
          <w:szCs w:val="28"/>
        </w:rPr>
      </w:pPr>
      <w:r w:rsidRPr="009D77DC">
        <w:rPr>
          <w:sz w:val="28"/>
          <w:szCs w:val="28"/>
        </w:rPr>
        <w:t xml:space="preserve">Permanent </w:t>
      </w:r>
      <w:r w:rsidR="00D24B49" w:rsidRPr="009D77DC">
        <w:rPr>
          <w:sz w:val="28"/>
          <w:szCs w:val="28"/>
        </w:rPr>
        <w:t>Supportive Housing is</w:t>
      </w:r>
      <w:r w:rsidR="00980C65" w:rsidRPr="009D77DC">
        <w:rPr>
          <w:sz w:val="28"/>
          <w:szCs w:val="28"/>
        </w:rPr>
        <w:t xml:space="preserve"> for people who need supportive services to access and maintain affordable housing, are experiencing or at risk of homelessness, are living with disabilities, and/or are experiencing or at risk of</w:t>
      </w:r>
      <w:r w:rsidR="00707692" w:rsidRPr="009D77DC">
        <w:rPr>
          <w:sz w:val="28"/>
          <w:szCs w:val="28"/>
        </w:rPr>
        <w:t xml:space="preserve"> (unnecessary) </w:t>
      </w:r>
      <w:r w:rsidR="00980C65" w:rsidRPr="009D77DC">
        <w:rPr>
          <w:sz w:val="28"/>
          <w:szCs w:val="28"/>
        </w:rPr>
        <w:t xml:space="preserve"> institutionalization</w:t>
      </w:r>
      <w:r w:rsidR="00980C65" w:rsidRPr="002B532F">
        <w:rPr>
          <w:sz w:val="28"/>
          <w:szCs w:val="28"/>
        </w:rPr>
        <w:t xml:space="preserve">. </w:t>
      </w:r>
    </w:p>
    <w:p w14:paraId="72D88992" w14:textId="77777777" w:rsidR="00980C65" w:rsidRDefault="00980C65" w:rsidP="00980C65">
      <w:pPr>
        <w:pStyle w:val="Default"/>
        <w:rPr>
          <w:sz w:val="22"/>
          <w:szCs w:val="22"/>
        </w:rPr>
      </w:pPr>
    </w:p>
    <w:p w14:paraId="78229A2D" w14:textId="77777777" w:rsidR="00980C65" w:rsidRPr="00B77A4B" w:rsidRDefault="00980C65" w:rsidP="00980C65">
      <w:pPr>
        <w:pStyle w:val="Default"/>
        <w:rPr>
          <w:b/>
          <w:sz w:val="28"/>
          <w:szCs w:val="28"/>
        </w:rPr>
      </w:pPr>
      <w:r w:rsidRPr="00B77A4B">
        <w:rPr>
          <w:b/>
          <w:sz w:val="28"/>
          <w:szCs w:val="28"/>
        </w:rPr>
        <w:t xml:space="preserve">HOUSING: </w:t>
      </w:r>
    </w:p>
    <w:p w14:paraId="62819F2A" w14:textId="72EC46CE" w:rsidR="00980C65" w:rsidRPr="002B532F" w:rsidRDefault="00980C65" w:rsidP="00980C65">
      <w:pPr>
        <w:pStyle w:val="Default"/>
        <w:spacing w:after="24"/>
        <w:rPr>
          <w:sz w:val="28"/>
          <w:szCs w:val="28"/>
        </w:rPr>
      </w:pPr>
      <w:r>
        <w:rPr>
          <w:rFonts w:ascii="Palatino Linotype" w:hAnsi="Palatino Linotype" w:cs="Palatino Linotype"/>
          <w:sz w:val="22"/>
          <w:szCs w:val="22"/>
        </w:rPr>
        <w:t xml:space="preserve">• </w:t>
      </w:r>
      <w:r w:rsidRPr="002B532F">
        <w:rPr>
          <w:sz w:val="28"/>
          <w:szCs w:val="28"/>
        </w:rPr>
        <w:t>Permanent</w:t>
      </w:r>
      <w:r w:rsidR="00D24B49" w:rsidRPr="00707692">
        <w:rPr>
          <w:color w:val="FF0000"/>
          <w:sz w:val="28"/>
          <w:szCs w:val="28"/>
        </w:rPr>
        <w:t xml:space="preserve">- </w:t>
      </w:r>
      <w:r w:rsidR="00D24B49" w:rsidRPr="002B532F">
        <w:rPr>
          <w:sz w:val="28"/>
          <w:szCs w:val="28"/>
        </w:rPr>
        <w:t>(</w:t>
      </w:r>
      <w:r w:rsidRPr="002B532F">
        <w:rPr>
          <w:sz w:val="28"/>
          <w:szCs w:val="28"/>
        </w:rPr>
        <w:t xml:space="preserve">not time-limited, not transitional); </w:t>
      </w:r>
    </w:p>
    <w:p w14:paraId="21C400FA" w14:textId="77777777" w:rsidR="00980C65" w:rsidRPr="002B532F" w:rsidRDefault="00980C65" w:rsidP="00980C65">
      <w:pPr>
        <w:pStyle w:val="Default"/>
        <w:spacing w:after="24"/>
        <w:rPr>
          <w:sz w:val="28"/>
          <w:szCs w:val="28"/>
        </w:rPr>
      </w:pPr>
      <w:r w:rsidRPr="002B532F">
        <w:rPr>
          <w:rFonts w:ascii="Palatino Linotype" w:hAnsi="Palatino Linotype" w:cs="Palatino Linotype"/>
          <w:sz w:val="28"/>
          <w:szCs w:val="28"/>
        </w:rPr>
        <w:t xml:space="preserve">• </w:t>
      </w:r>
      <w:r w:rsidRPr="002B532F">
        <w:rPr>
          <w:sz w:val="28"/>
          <w:szCs w:val="28"/>
        </w:rPr>
        <w:t xml:space="preserve">Affordable (typically rent-subsidized or otherwise targeted to the extremely-low-income who make 30% of the area’s median income or below); and </w:t>
      </w:r>
    </w:p>
    <w:p w14:paraId="77662DD1" w14:textId="0FD8F927" w:rsidR="00980C65" w:rsidRPr="002B532F" w:rsidRDefault="00980C65" w:rsidP="00980C65">
      <w:pPr>
        <w:pStyle w:val="Default"/>
        <w:rPr>
          <w:sz w:val="28"/>
          <w:szCs w:val="28"/>
        </w:rPr>
      </w:pPr>
      <w:r w:rsidRPr="002B532F">
        <w:rPr>
          <w:rFonts w:ascii="Palatino Linotype" w:hAnsi="Palatino Linotype" w:cs="Palatino Linotype"/>
          <w:sz w:val="28"/>
          <w:szCs w:val="28"/>
        </w:rPr>
        <w:t xml:space="preserve">• </w:t>
      </w:r>
      <w:r w:rsidRPr="002B532F">
        <w:rPr>
          <w:sz w:val="28"/>
          <w:szCs w:val="28"/>
        </w:rPr>
        <w:t>Independent (tenant holds the lease</w:t>
      </w:r>
      <w:r w:rsidR="006A6323">
        <w:rPr>
          <w:sz w:val="28"/>
          <w:szCs w:val="28"/>
        </w:rPr>
        <w:t xml:space="preserve"> or sub-lease</w:t>
      </w:r>
      <w:r w:rsidRPr="002B532F">
        <w:rPr>
          <w:sz w:val="28"/>
          <w:szCs w:val="28"/>
        </w:rPr>
        <w:t xml:space="preserve"> with normal rights and responsibilities). </w:t>
      </w:r>
    </w:p>
    <w:p w14:paraId="25F89134" w14:textId="77777777" w:rsidR="00980C65" w:rsidRPr="002B532F" w:rsidRDefault="00980C65" w:rsidP="00980C65">
      <w:pPr>
        <w:pStyle w:val="Default"/>
        <w:rPr>
          <w:sz w:val="28"/>
          <w:szCs w:val="28"/>
        </w:rPr>
      </w:pPr>
    </w:p>
    <w:p w14:paraId="4BE74F7B" w14:textId="77777777" w:rsidR="00980C65" w:rsidRPr="00B77A4B" w:rsidRDefault="00980C65" w:rsidP="00980C65">
      <w:pPr>
        <w:pStyle w:val="Default"/>
        <w:rPr>
          <w:b/>
          <w:sz w:val="28"/>
          <w:szCs w:val="28"/>
        </w:rPr>
      </w:pPr>
      <w:r w:rsidRPr="00B77A4B">
        <w:rPr>
          <w:b/>
          <w:sz w:val="28"/>
          <w:szCs w:val="28"/>
        </w:rPr>
        <w:t xml:space="preserve">SERVICES: </w:t>
      </w:r>
    </w:p>
    <w:p w14:paraId="03E1087D" w14:textId="77777777" w:rsidR="00980C65" w:rsidRPr="002B532F" w:rsidRDefault="00980C65" w:rsidP="00980C65">
      <w:pPr>
        <w:pStyle w:val="Default"/>
        <w:spacing w:after="21"/>
        <w:rPr>
          <w:sz w:val="28"/>
          <w:szCs w:val="28"/>
        </w:rPr>
      </w:pPr>
      <w:r>
        <w:rPr>
          <w:rFonts w:ascii="Palatino Linotype" w:hAnsi="Palatino Linotype" w:cs="Palatino Linotype"/>
          <w:sz w:val="22"/>
          <w:szCs w:val="22"/>
        </w:rPr>
        <w:t xml:space="preserve">• </w:t>
      </w:r>
      <w:r w:rsidRPr="002B532F">
        <w:rPr>
          <w:sz w:val="28"/>
          <w:szCs w:val="28"/>
        </w:rPr>
        <w:t xml:space="preserve">Flexible (responsive to tenants’ needs and desires); </w:t>
      </w:r>
    </w:p>
    <w:p w14:paraId="6B0F5EFA" w14:textId="77777777" w:rsidR="00980C65" w:rsidRPr="002B532F" w:rsidRDefault="00980C65" w:rsidP="00980C65">
      <w:pPr>
        <w:pStyle w:val="Default"/>
        <w:spacing w:after="21"/>
        <w:rPr>
          <w:sz w:val="28"/>
          <w:szCs w:val="28"/>
        </w:rPr>
      </w:pPr>
      <w:r w:rsidRPr="002B532F">
        <w:rPr>
          <w:rFonts w:ascii="Palatino Linotype" w:hAnsi="Palatino Linotype" w:cs="Palatino Linotype"/>
          <w:sz w:val="28"/>
          <w:szCs w:val="28"/>
        </w:rPr>
        <w:t xml:space="preserve">• </w:t>
      </w:r>
      <w:r w:rsidRPr="002B532F">
        <w:rPr>
          <w:sz w:val="28"/>
          <w:szCs w:val="28"/>
        </w:rPr>
        <w:t xml:space="preserve">Voluntary (participation is not a condition of tenancy); and </w:t>
      </w:r>
    </w:p>
    <w:p w14:paraId="47BB862B" w14:textId="77777777" w:rsidR="00980C65" w:rsidRPr="002B532F" w:rsidRDefault="00980C65" w:rsidP="00980C65">
      <w:pPr>
        <w:pStyle w:val="Default"/>
        <w:rPr>
          <w:sz w:val="28"/>
          <w:szCs w:val="28"/>
        </w:rPr>
      </w:pPr>
      <w:r w:rsidRPr="002B532F">
        <w:rPr>
          <w:rFonts w:ascii="Palatino Linotype" w:hAnsi="Palatino Linotype" w:cs="Palatino Linotype"/>
          <w:sz w:val="28"/>
          <w:szCs w:val="28"/>
        </w:rPr>
        <w:t xml:space="preserve">• </w:t>
      </w:r>
      <w:r w:rsidRPr="002B532F">
        <w:rPr>
          <w:sz w:val="28"/>
          <w:szCs w:val="28"/>
        </w:rPr>
        <w:t xml:space="preserve">Sustainable (focus of services is on maintaining housing stability and good health). </w:t>
      </w:r>
    </w:p>
    <w:p w14:paraId="00170873" w14:textId="77777777" w:rsidR="00980C65" w:rsidRDefault="00980C65" w:rsidP="00980C65">
      <w:pPr>
        <w:pStyle w:val="Default"/>
        <w:rPr>
          <w:sz w:val="22"/>
          <w:szCs w:val="22"/>
        </w:rPr>
      </w:pPr>
    </w:p>
    <w:p w14:paraId="0EABDBAD" w14:textId="77777777" w:rsidR="002B532F" w:rsidRPr="00BA559B" w:rsidRDefault="002B532F" w:rsidP="002B532F">
      <w:pPr>
        <w:pStyle w:val="Default"/>
        <w:rPr>
          <w:b/>
          <w:sz w:val="22"/>
          <w:szCs w:val="22"/>
        </w:rPr>
      </w:pPr>
      <w:r w:rsidRPr="00BA559B">
        <w:rPr>
          <w:b/>
          <w:sz w:val="22"/>
          <w:szCs w:val="22"/>
        </w:rPr>
        <w:t>Other Types of Housing</w:t>
      </w:r>
      <w:r w:rsidR="00707692" w:rsidRPr="00BA559B">
        <w:rPr>
          <w:b/>
          <w:sz w:val="22"/>
          <w:szCs w:val="22"/>
        </w:rPr>
        <w:t xml:space="preserve"> </w:t>
      </w:r>
      <w:r w:rsidR="008E4510" w:rsidRPr="00BA559B">
        <w:rPr>
          <w:b/>
          <w:sz w:val="22"/>
          <w:szCs w:val="22"/>
        </w:rPr>
        <w:t xml:space="preserve">with </w:t>
      </w:r>
      <w:r w:rsidR="00707692" w:rsidRPr="00BA559B">
        <w:rPr>
          <w:b/>
          <w:sz w:val="22"/>
          <w:szCs w:val="22"/>
        </w:rPr>
        <w:t>services</w:t>
      </w:r>
      <w:r w:rsidRPr="00BA559B">
        <w:rPr>
          <w:b/>
          <w:sz w:val="22"/>
          <w:szCs w:val="22"/>
        </w:rPr>
        <w:t>:</w:t>
      </w:r>
    </w:p>
    <w:p w14:paraId="721742A7" w14:textId="77777777" w:rsidR="002B532F" w:rsidRPr="00BA559B" w:rsidRDefault="002B532F" w:rsidP="002B532F">
      <w:pPr>
        <w:pStyle w:val="Default"/>
        <w:rPr>
          <w:sz w:val="22"/>
          <w:szCs w:val="22"/>
        </w:rPr>
      </w:pPr>
      <w:r w:rsidRPr="00BA559B">
        <w:rPr>
          <w:sz w:val="22"/>
          <w:szCs w:val="22"/>
        </w:rPr>
        <w:t xml:space="preserve">Rapid Re-Rehousing, Other Permanent Housing, Transitional Housing, </w:t>
      </w:r>
      <w:proofErr w:type="gramStart"/>
      <w:r w:rsidRPr="00BA559B">
        <w:rPr>
          <w:sz w:val="22"/>
          <w:szCs w:val="22"/>
        </w:rPr>
        <w:t>Safe Haven</w:t>
      </w:r>
      <w:proofErr w:type="gramEnd"/>
      <w:r w:rsidRPr="00BA559B">
        <w:rPr>
          <w:sz w:val="22"/>
          <w:szCs w:val="22"/>
        </w:rPr>
        <w:t>, Family Unification Program Vouchers, IDOC PRG program Units, Section 202</w:t>
      </w:r>
    </w:p>
    <w:p w14:paraId="63DF2817" w14:textId="77777777" w:rsidR="009F70FA" w:rsidRDefault="009F70FA" w:rsidP="002B532F">
      <w:pPr>
        <w:pStyle w:val="Default"/>
        <w:rPr>
          <w:b/>
          <w:sz w:val="22"/>
          <w:szCs w:val="22"/>
        </w:rPr>
      </w:pPr>
    </w:p>
    <w:p w14:paraId="11106361" w14:textId="3EEB4C69" w:rsidR="002B532F" w:rsidRPr="00BA559B" w:rsidRDefault="002B532F" w:rsidP="002B532F">
      <w:pPr>
        <w:pStyle w:val="Default"/>
        <w:rPr>
          <w:b/>
          <w:sz w:val="22"/>
          <w:szCs w:val="22"/>
        </w:rPr>
      </w:pPr>
      <w:r w:rsidRPr="00BA559B">
        <w:rPr>
          <w:b/>
          <w:sz w:val="22"/>
          <w:szCs w:val="22"/>
        </w:rPr>
        <w:lastRenderedPageBreak/>
        <w:t xml:space="preserve">Populations: </w:t>
      </w:r>
    </w:p>
    <w:p w14:paraId="3CC143F9" w14:textId="1934E7E8" w:rsidR="002B532F" w:rsidRPr="00BA559B" w:rsidRDefault="002B532F" w:rsidP="002B532F">
      <w:pPr>
        <w:pStyle w:val="Default"/>
        <w:rPr>
          <w:sz w:val="22"/>
          <w:szCs w:val="22"/>
        </w:rPr>
      </w:pPr>
      <w:r w:rsidRPr="00BA559B">
        <w:rPr>
          <w:sz w:val="22"/>
          <w:szCs w:val="22"/>
        </w:rPr>
        <w:t>The need for a disabling condition</w:t>
      </w:r>
      <w:r w:rsidR="00E66D6F" w:rsidRPr="00BA559B">
        <w:rPr>
          <w:sz w:val="22"/>
          <w:szCs w:val="22"/>
        </w:rPr>
        <w:t xml:space="preserve"> and/</w:t>
      </w:r>
      <w:r w:rsidR="00707692" w:rsidRPr="00BA559B">
        <w:rPr>
          <w:sz w:val="22"/>
          <w:szCs w:val="22"/>
        </w:rPr>
        <w:t xml:space="preserve"> or homelessness</w:t>
      </w:r>
      <w:r w:rsidRPr="00BA559B">
        <w:rPr>
          <w:sz w:val="22"/>
          <w:szCs w:val="22"/>
        </w:rPr>
        <w:t xml:space="preserve"> is the underlying factor for PSH. Below is a comprehensive list of populations in Illinois who can benefit from PSH</w:t>
      </w:r>
      <w:r w:rsidR="00707692" w:rsidRPr="00BA559B">
        <w:rPr>
          <w:sz w:val="22"/>
          <w:szCs w:val="22"/>
        </w:rPr>
        <w:t xml:space="preserve">, please note that senior specific housing is not </w:t>
      </w:r>
      <w:r w:rsidR="00F3524B" w:rsidRPr="00BA559B">
        <w:rPr>
          <w:sz w:val="22"/>
          <w:szCs w:val="22"/>
        </w:rPr>
        <w:t xml:space="preserve">consider </w:t>
      </w:r>
      <w:r w:rsidR="00707692" w:rsidRPr="00BA559B">
        <w:rPr>
          <w:sz w:val="22"/>
          <w:szCs w:val="22"/>
        </w:rPr>
        <w:t>supportive housin</w:t>
      </w:r>
      <w:r w:rsidR="00F3524B" w:rsidRPr="00BA559B">
        <w:rPr>
          <w:sz w:val="22"/>
          <w:szCs w:val="22"/>
        </w:rPr>
        <w:t>g under this definition.</w:t>
      </w:r>
    </w:p>
    <w:p w14:paraId="5D598916" w14:textId="77777777" w:rsidR="002B532F" w:rsidRPr="00BA559B" w:rsidRDefault="002B532F" w:rsidP="002B532F">
      <w:pPr>
        <w:pStyle w:val="Default"/>
        <w:rPr>
          <w:b/>
          <w:bCs/>
          <w:sz w:val="22"/>
          <w:szCs w:val="22"/>
        </w:rPr>
      </w:pPr>
    </w:p>
    <w:p w14:paraId="4EED04D5" w14:textId="77777777" w:rsidR="002B532F" w:rsidRPr="00BA559B" w:rsidRDefault="002B532F" w:rsidP="002B532F">
      <w:pPr>
        <w:pStyle w:val="Default"/>
        <w:rPr>
          <w:sz w:val="22"/>
          <w:szCs w:val="22"/>
        </w:rPr>
      </w:pPr>
      <w:r w:rsidRPr="00BA559B">
        <w:rPr>
          <w:b/>
          <w:bCs/>
          <w:sz w:val="22"/>
          <w:szCs w:val="22"/>
        </w:rPr>
        <w:t xml:space="preserve">People experiencing chronic homelessness: </w:t>
      </w:r>
      <w:r w:rsidR="00707692" w:rsidRPr="00BA559B">
        <w:rPr>
          <w:sz w:val="22"/>
          <w:szCs w:val="22"/>
        </w:rPr>
        <w:t>current HUD def</w:t>
      </w:r>
      <w:r w:rsidR="00E66D6F" w:rsidRPr="00BA559B">
        <w:rPr>
          <w:sz w:val="22"/>
          <w:szCs w:val="22"/>
        </w:rPr>
        <w:t>inition of Chronic Homelessness is:</w:t>
      </w:r>
    </w:p>
    <w:p w14:paraId="75DF322C" w14:textId="62A7E342" w:rsidR="002B532F" w:rsidRPr="00BA559B" w:rsidRDefault="002B532F" w:rsidP="002B532F">
      <w:pPr>
        <w:pStyle w:val="Default"/>
        <w:spacing w:after="38"/>
        <w:rPr>
          <w:sz w:val="22"/>
          <w:szCs w:val="22"/>
        </w:rPr>
      </w:pPr>
      <w:r w:rsidRPr="00BA559B">
        <w:rPr>
          <w:sz w:val="22"/>
          <w:szCs w:val="22"/>
        </w:rPr>
        <w:t xml:space="preserve">•An individual or family which is homeless and resides in a place not meant for human habitation, </w:t>
      </w:r>
      <w:proofErr w:type="gramStart"/>
      <w:r w:rsidRPr="00BA559B">
        <w:rPr>
          <w:sz w:val="22"/>
          <w:szCs w:val="22"/>
        </w:rPr>
        <w:t>safe haven</w:t>
      </w:r>
      <w:proofErr w:type="gramEnd"/>
      <w:r w:rsidRPr="00BA559B">
        <w:rPr>
          <w:sz w:val="22"/>
          <w:szCs w:val="22"/>
        </w:rPr>
        <w:t xml:space="preserve">, or in an emergency shelter, and has been homeless and residing in such a place. </w:t>
      </w:r>
    </w:p>
    <w:p w14:paraId="0E94B72D" w14:textId="77777777" w:rsidR="00707692" w:rsidRPr="00BA559B" w:rsidRDefault="002B532F" w:rsidP="002B532F">
      <w:pPr>
        <w:pStyle w:val="Default"/>
        <w:rPr>
          <w:sz w:val="22"/>
          <w:szCs w:val="22"/>
        </w:rPr>
      </w:pPr>
      <w:r w:rsidRPr="00BA559B">
        <w:rPr>
          <w:sz w:val="22"/>
          <w:szCs w:val="22"/>
        </w:rPr>
        <w:t xml:space="preserve">• For at least one year or on at least four separate occasions in the last three years for a total of one year. </w:t>
      </w:r>
    </w:p>
    <w:p w14:paraId="7A43F01E" w14:textId="77777777" w:rsidR="002B532F" w:rsidRPr="00BA559B" w:rsidRDefault="002B532F" w:rsidP="002B532F">
      <w:pPr>
        <w:pStyle w:val="Default"/>
        <w:rPr>
          <w:color w:val="auto"/>
          <w:sz w:val="22"/>
          <w:szCs w:val="22"/>
        </w:rPr>
      </w:pPr>
      <w:r w:rsidRPr="00BA559B">
        <w:rPr>
          <w:color w:val="auto"/>
          <w:sz w:val="22"/>
          <w:szCs w:val="22"/>
        </w:rPr>
        <w:t>• The individual or family must also have a head of household with a diagnosable substance use disorder, serious mental illness, developmental disability, post-traumatic stress disorder, cognitive impairments resulting from a brain injury, or chronic physical illness or disability.</w:t>
      </w:r>
    </w:p>
    <w:p w14:paraId="1B5FA6A3" w14:textId="77777777" w:rsidR="002B532F" w:rsidRPr="00BA559B" w:rsidRDefault="002B532F" w:rsidP="00980C65">
      <w:pPr>
        <w:pStyle w:val="Default"/>
        <w:rPr>
          <w:sz w:val="22"/>
          <w:szCs w:val="22"/>
        </w:rPr>
      </w:pPr>
    </w:p>
    <w:p w14:paraId="3F8878E2" w14:textId="77777777" w:rsidR="002B532F" w:rsidRPr="00BA559B" w:rsidRDefault="002B532F" w:rsidP="002B532F">
      <w:pPr>
        <w:pStyle w:val="Default"/>
        <w:rPr>
          <w:sz w:val="22"/>
          <w:szCs w:val="22"/>
        </w:rPr>
      </w:pPr>
      <w:r w:rsidRPr="00BA559B">
        <w:rPr>
          <w:b/>
          <w:bCs/>
          <w:sz w:val="22"/>
          <w:szCs w:val="22"/>
        </w:rPr>
        <w:t xml:space="preserve">People experiencing </w:t>
      </w:r>
      <w:r w:rsidR="000521AF" w:rsidRPr="00BA559B">
        <w:rPr>
          <w:b/>
          <w:bCs/>
          <w:sz w:val="22"/>
          <w:szCs w:val="22"/>
        </w:rPr>
        <w:t>homelessness</w:t>
      </w:r>
      <w:r w:rsidRPr="00BA559B">
        <w:rPr>
          <w:b/>
          <w:bCs/>
          <w:sz w:val="22"/>
          <w:szCs w:val="22"/>
        </w:rPr>
        <w:t xml:space="preserve">: </w:t>
      </w:r>
    </w:p>
    <w:p w14:paraId="71923C62" w14:textId="5DC63D48" w:rsidR="002B532F" w:rsidRPr="00BA559B" w:rsidRDefault="002B532F" w:rsidP="002B532F">
      <w:pPr>
        <w:pStyle w:val="Default"/>
        <w:rPr>
          <w:sz w:val="22"/>
          <w:szCs w:val="22"/>
        </w:rPr>
      </w:pPr>
      <w:r w:rsidRPr="00BA559B">
        <w:rPr>
          <w:sz w:val="22"/>
          <w:szCs w:val="22"/>
        </w:rPr>
        <w:t>•Individuals and families who lack a fixed, regular, and adequate nighttime residence or an</w:t>
      </w:r>
      <w:r w:rsidR="00B77A4B" w:rsidRPr="00BA559B">
        <w:rPr>
          <w:sz w:val="22"/>
          <w:szCs w:val="22"/>
        </w:rPr>
        <w:t xml:space="preserve"> </w:t>
      </w:r>
      <w:r w:rsidRPr="00BA559B">
        <w:rPr>
          <w:sz w:val="22"/>
          <w:szCs w:val="22"/>
        </w:rPr>
        <w:t>individual who resided in an emergency shelter, a place not meant for human habitation or who</w:t>
      </w:r>
      <w:r w:rsidR="00B77A4B" w:rsidRPr="00BA559B">
        <w:rPr>
          <w:sz w:val="22"/>
          <w:szCs w:val="22"/>
        </w:rPr>
        <w:t xml:space="preserve"> </w:t>
      </w:r>
      <w:r w:rsidRPr="00BA559B">
        <w:rPr>
          <w:sz w:val="22"/>
          <w:szCs w:val="22"/>
        </w:rPr>
        <w:t>is exiting an institution where he or she temporarily resided;</w:t>
      </w:r>
    </w:p>
    <w:p w14:paraId="122363FB" w14:textId="77777777" w:rsidR="002B532F" w:rsidRPr="00BA559B" w:rsidRDefault="002B532F" w:rsidP="002B532F">
      <w:pPr>
        <w:pStyle w:val="Default"/>
        <w:rPr>
          <w:sz w:val="22"/>
          <w:szCs w:val="22"/>
        </w:rPr>
      </w:pPr>
      <w:r w:rsidRPr="00BA559B">
        <w:rPr>
          <w:sz w:val="22"/>
          <w:szCs w:val="22"/>
        </w:rPr>
        <w:t>•</w:t>
      </w:r>
      <w:r w:rsidR="00B77A4B" w:rsidRPr="00BA559B">
        <w:rPr>
          <w:sz w:val="22"/>
          <w:szCs w:val="22"/>
        </w:rPr>
        <w:t xml:space="preserve"> </w:t>
      </w:r>
      <w:r w:rsidRPr="00BA559B">
        <w:rPr>
          <w:sz w:val="22"/>
          <w:szCs w:val="22"/>
        </w:rPr>
        <w:t>Individuals and families who will imminently lose their primary nighttime residence;</w:t>
      </w:r>
    </w:p>
    <w:p w14:paraId="72BF48B5" w14:textId="77777777" w:rsidR="002B532F" w:rsidRPr="00BA559B" w:rsidRDefault="002B532F" w:rsidP="002B532F">
      <w:pPr>
        <w:pStyle w:val="Default"/>
        <w:rPr>
          <w:sz w:val="22"/>
          <w:szCs w:val="22"/>
        </w:rPr>
      </w:pPr>
      <w:r w:rsidRPr="00BA559B">
        <w:rPr>
          <w:sz w:val="22"/>
          <w:szCs w:val="22"/>
        </w:rPr>
        <w:t>•</w:t>
      </w:r>
      <w:r w:rsidR="00B77A4B" w:rsidRPr="00BA559B">
        <w:rPr>
          <w:sz w:val="22"/>
          <w:szCs w:val="22"/>
        </w:rPr>
        <w:t xml:space="preserve"> </w:t>
      </w:r>
      <w:r w:rsidRPr="00BA559B">
        <w:rPr>
          <w:sz w:val="22"/>
          <w:szCs w:val="22"/>
        </w:rPr>
        <w:t>Unaccompanied youth and families with children and youth who are defined as homeless under</w:t>
      </w:r>
      <w:r w:rsidR="00B77A4B" w:rsidRPr="00BA559B">
        <w:rPr>
          <w:sz w:val="22"/>
          <w:szCs w:val="22"/>
        </w:rPr>
        <w:t xml:space="preserve"> </w:t>
      </w:r>
      <w:r w:rsidRPr="00BA559B">
        <w:rPr>
          <w:sz w:val="22"/>
          <w:szCs w:val="22"/>
        </w:rPr>
        <w:t>other federal statutes who do not otherwise qualify as homeless under this definition; and</w:t>
      </w:r>
    </w:p>
    <w:p w14:paraId="2F552E42" w14:textId="77777777" w:rsidR="002B532F" w:rsidRPr="00BA559B" w:rsidRDefault="002B532F" w:rsidP="002B532F">
      <w:pPr>
        <w:pStyle w:val="Default"/>
        <w:rPr>
          <w:sz w:val="22"/>
          <w:szCs w:val="22"/>
        </w:rPr>
      </w:pPr>
      <w:r w:rsidRPr="00BA559B">
        <w:rPr>
          <w:sz w:val="22"/>
          <w:szCs w:val="22"/>
        </w:rPr>
        <w:t>•</w:t>
      </w:r>
      <w:r w:rsidR="00B77A4B" w:rsidRPr="00BA559B">
        <w:rPr>
          <w:sz w:val="22"/>
          <w:szCs w:val="22"/>
        </w:rPr>
        <w:t xml:space="preserve"> </w:t>
      </w:r>
      <w:r w:rsidRPr="00BA559B">
        <w:rPr>
          <w:sz w:val="22"/>
          <w:szCs w:val="22"/>
        </w:rPr>
        <w:t>Individuals and families who are fleeing, or are attempting to flee, domestic violence, dating</w:t>
      </w:r>
      <w:r w:rsidR="00B77A4B" w:rsidRPr="00BA559B">
        <w:rPr>
          <w:sz w:val="22"/>
          <w:szCs w:val="22"/>
        </w:rPr>
        <w:t xml:space="preserve"> </w:t>
      </w:r>
      <w:r w:rsidRPr="00BA559B">
        <w:rPr>
          <w:sz w:val="22"/>
          <w:szCs w:val="22"/>
        </w:rPr>
        <w:t>violence, sexual assault, stalking, or other dangerous or life-threatening conditions that relate to</w:t>
      </w:r>
      <w:r w:rsidR="00B77A4B" w:rsidRPr="00BA559B">
        <w:rPr>
          <w:sz w:val="22"/>
          <w:szCs w:val="22"/>
        </w:rPr>
        <w:t xml:space="preserve"> </w:t>
      </w:r>
      <w:r w:rsidRPr="00BA559B">
        <w:rPr>
          <w:sz w:val="22"/>
          <w:szCs w:val="22"/>
        </w:rPr>
        <w:t>violence against the individual or a family member.”</w:t>
      </w:r>
    </w:p>
    <w:p w14:paraId="71DC6008" w14:textId="77777777" w:rsidR="002B532F" w:rsidRPr="00BA559B" w:rsidRDefault="00B77A4B" w:rsidP="002B532F">
      <w:pPr>
        <w:pStyle w:val="Default"/>
        <w:rPr>
          <w:b/>
          <w:sz w:val="22"/>
          <w:szCs w:val="22"/>
        </w:rPr>
      </w:pPr>
      <w:r w:rsidRPr="00BA559B">
        <w:rPr>
          <w:sz w:val="22"/>
          <w:szCs w:val="22"/>
        </w:rPr>
        <w:br/>
      </w:r>
      <w:r w:rsidR="002B532F" w:rsidRPr="00BA559B">
        <w:rPr>
          <w:b/>
          <w:sz w:val="22"/>
          <w:szCs w:val="22"/>
        </w:rPr>
        <w:t>Persons at risk of homelessness:</w:t>
      </w:r>
    </w:p>
    <w:p w14:paraId="2E5D0CBE" w14:textId="75760F9D" w:rsidR="002B532F" w:rsidRPr="00BA559B" w:rsidRDefault="002B532F" w:rsidP="002B532F">
      <w:pPr>
        <w:pStyle w:val="Default"/>
        <w:rPr>
          <w:sz w:val="22"/>
          <w:szCs w:val="22"/>
        </w:rPr>
      </w:pPr>
      <w:r w:rsidRPr="00BA559B">
        <w:rPr>
          <w:sz w:val="22"/>
          <w:szCs w:val="22"/>
        </w:rPr>
        <w:t>•Any individual or family that has income below 30 percent of median income for the geographic</w:t>
      </w:r>
      <w:r w:rsidR="00B77A4B" w:rsidRPr="00BA559B">
        <w:rPr>
          <w:sz w:val="22"/>
          <w:szCs w:val="22"/>
        </w:rPr>
        <w:t xml:space="preserve"> </w:t>
      </w:r>
      <w:r w:rsidRPr="00BA559B">
        <w:rPr>
          <w:sz w:val="22"/>
          <w:szCs w:val="22"/>
        </w:rPr>
        <w:t>area;</w:t>
      </w:r>
    </w:p>
    <w:p w14:paraId="42BE95FD" w14:textId="77777777" w:rsidR="002B532F" w:rsidRPr="00BA559B" w:rsidRDefault="002B532F" w:rsidP="002B532F">
      <w:pPr>
        <w:pStyle w:val="Default"/>
        <w:rPr>
          <w:sz w:val="22"/>
          <w:szCs w:val="22"/>
        </w:rPr>
      </w:pPr>
      <w:r w:rsidRPr="00BA559B">
        <w:rPr>
          <w:sz w:val="22"/>
          <w:szCs w:val="22"/>
        </w:rPr>
        <w:t>•</w:t>
      </w:r>
      <w:r w:rsidR="00B77A4B" w:rsidRPr="00BA559B">
        <w:rPr>
          <w:sz w:val="22"/>
          <w:szCs w:val="22"/>
        </w:rPr>
        <w:t xml:space="preserve"> </w:t>
      </w:r>
      <w:r w:rsidRPr="00BA559B">
        <w:rPr>
          <w:sz w:val="22"/>
          <w:szCs w:val="22"/>
        </w:rPr>
        <w:t>Has insufficient resources immediately available to attain housing stability; and</w:t>
      </w:r>
    </w:p>
    <w:p w14:paraId="248CD0E5" w14:textId="77777777" w:rsidR="002B532F" w:rsidRPr="00BA559B" w:rsidRDefault="002B532F" w:rsidP="002B532F">
      <w:pPr>
        <w:pStyle w:val="Default"/>
        <w:rPr>
          <w:sz w:val="22"/>
          <w:szCs w:val="22"/>
        </w:rPr>
      </w:pPr>
      <w:r w:rsidRPr="00BA559B">
        <w:rPr>
          <w:sz w:val="22"/>
          <w:szCs w:val="22"/>
        </w:rPr>
        <w:t>•</w:t>
      </w:r>
      <w:r w:rsidR="00B77A4B" w:rsidRPr="00BA559B">
        <w:rPr>
          <w:sz w:val="22"/>
          <w:szCs w:val="22"/>
        </w:rPr>
        <w:t xml:space="preserve"> </w:t>
      </w:r>
      <w:r w:rsidRPr="00BA559B">
        <w:rPr>
          <w:sz w:val="22"/>
          <w:szCs w:val="22"/>
        </w:rPr>
        <w:t>(</w:t>
      </w:r>
      <w:proofErr w:type="spellStart"/>
      <w:r w:rsidRPr="00BA559B">
        <w:rPr>
          <w:sz w:val="22"/>
          <w:szCs w:val="22"/>
        </w:rPr>
        <w:t>i</w:t>
      </w:r>
      <w:proofErr w:type="spellEnd"/>
      <w:r w:rsidRPr="00BA559B">
        <w:rPr>
          <w:sz w:val="22"/>
          <w:szCs w:val="22"/>
        </w:rPr>
        <w:t>) Has moved frequently because of economic reasons; (ii) is living in the home of another</w:t>
      </w:r>
      <w:r w:rsidR="00B77A4B" w:rsidRPr="00BA559B">
        <w:rPr>
          <w:sz w:val="22"/>
          <w:szCs w:val="22"/>
        </w:rPr>
        <w:t xml:space="preserve"> </w:t>
      </w:r>
      <w:r w:rsidRPr="00BA559B">
        <w:rPr>
          <w:sz w:val="22"/>
          <w:szCs w:val="22"/>
        </w:rPr>
        <w:t>because of economic hardship; (iii) has been notified that their right to occupy their current</w:t>
      </w:r>
      <w:r w:rsidR="00B77A4B" w:rsidRPr="00BA559B">
        <w:rPr>
          <w:sz w:val="22"/>
          <w:szCs w:val="22"/>
        </w:rPr>
        <w:t xml:space="preserve"> </w:t>
      </w:r>
      <w:r w:rsidRPr="00BA559B">
        <w:rPr>
          <w:sz w:val="22"/>
          <w:szCs w:val="22"/>
        </w:rPr>
        <w:t>housing or living situation will be terminated; (iv) lives in a hotel or motel; (v) lives in severely</w:t>
      </w:r>
      <w:r w:rsidR="00B77A4B" w:rsidRPr="00BA559B">
        <w:rPr>
          <w:sz w:val="22"/>
          <w:szCs w:val="22"/>
        </w:rPr>
        <w:t xml:space="preserve"> </w:t>
      </w:r>
      <w:r w:rsidRPr="00BA559B">
        <w:rPr>
          <w:sz w:val="22"/>
          <w:szCs w:val="22"/>
        </w:rPr>
        <w:t>overcrowded housing; (vi) is exiting an institution; or (vii) otherwise lives in housing that has</w:t>
      </w:r>
      <w:r w:rsidR="00B77A4B" w:rsidRPr="00BA559B">
        <w:rPr>
          <w:sz w:val="22"/>
          <w:szCs w:val="22"/>
        </w:rPr>
        <w:t xml:space="preserve"> </w:t>
      </w:r>
      <w:r w:rsidRPr="00BA559B">
        <w:rPr>
          <w:sz w:val="22"/>
          <w:szCs w:val="22"/>
        </w:rPr>
        <w:t>characteristics associated with instability and an increased risk of homelessness.</w:t>
      </w:r>
    </w:p>
    <w:p w14:paraId="4936ADB1" w14:textId="77777777" w:rsidR="00B77A4B" w:rsidRPr="00BA559B" w:rsidRDefault="00B77A4B" w:rsidP="002B532F">
      <w:pPr>
        <w:pStyle w:val="Default"/>
        <w:rPr>
          <w:sz w:val="22"/>
          <w:szCs w:val="22"/>
        </w:rPr>
      </w:pPr>
    </w:p>
    <w:p w14:paraId="51B24A99" w14:textId="77777777" w:rsidR="002B532F" w:rsidRPr="00BA559B" w:rsidRDefault="002B532F" w:rsidP="002B532F">
      <w:pPr>
        <w:pStyle w:val="Default"/>
        <w:rPr>
          <w:b/>
          <w:sz w:val="22"/>
          <w:szCs w:val="22"/>
        </w:rPr>
      </w:pPr>
      <w:r w:rsidRPr="00BA559B">
        <w:rPr>
          <w:b/>
          <w:sz w:val="22"/>
          <w:szCs w:val="22"/>
        </w:rPr>
        <w:t>Persons affected by HIV/AIDS (experiencing or at-risk-of homelessness);</w:t>
      </w:r>
    </w:p>
    <w:p w14:paraId="3FE4AD9E" w14:textId="77777777" w:rsidR="00B77A4B" w:rsidRPr="00BA559B" w:rsidRDefault="00B77A4B" w:rsidP="002B532F">
      <w:pPr>
        <w:pStyle w:val="Default"/>
        <w:rPr>
          <w:sz w:val="22"/>
          <w:szCs w:val="22"/>
        </w:rPr>
      </w:pPr>
    </w:p>
    <w:p w14:paraId="42E55EAA" w14:textId="77777777" w:rsidR="002B532F" w:rsidRPr="00BA559B" w:rsidRDefault="002B532F" w:rsidP="002B532F">
      <w:pPr>
        <w:pStyle w:val="Default"/>
        <w:rPr>
          <w:b/>
          <w:sz w:val="22"/>
          <w:szCs w:val="22"/>
        </w:rPr>
      </w:pPr>
      <w:r w:rsidRPr="00BA559B">
        <w:rPr>
          <w:b/>
          <w:sz w:val="22"/>
          <w:szCs w:val="22"/>
        </w:rPr>
        <w:t>Youth experiencing or at-risk of homelessness:</w:t>
      </w:r>
    </w:p>
    <w:p w14:paraId="746D788C" w14:textId="70C88725" w:rsidR="002B532F" w:rsidRPr="00BA559B" w:rsidRDefault="002B532F" w:rsidP="002B532F">
      <w:pPr>
        <w:pStyle w:val="Default"/>
        <w:rPr>
          <w:sz w:val="22"/>
          <w:szCs w:val="22"/>
        </w:rPr>
      </w:pPr>
      <w:r w:rsidRPr="00BA559B">
        <w:rPr>
          <w:sz w:val="22"/>
          <w:szCs w:val="22"/>
        </w:rPr>
        <w:t>•</w:t>
      </w:r>
      <w:r w:rsidR="00B77A4B" w:rsidRPr="00BA559B">
        <w:rPr>
          <w:sz w:val="22"/>
          <w:szCs w:val="22"/>
        </w:rPr>
        <w:t xml:space="preserve"> </w:t>
      </w:r>
      <w:r w:rsidRPr="00BA559B">
        <w:rPr>
          <w:sz w:val="22"/>
          <w:szCs w:val="22"/>
        </w:rPr>
        <w:t>Individuals 18 years or younger that participate in youth aging out of the Department for Children</w:t>
      </w:r>
      <w:r w:rsidR="00B77A4B" w:rsidRPr="00BA559B">
        <w:rPr>
          <w:sz w:val="22"/>
          <w:szCs w:val="22"/>
        </w:rPr>
        <w:t xml:space="preserve"> </w:t>
      </w:r>
      <w:r w:rsidRPr="00BA559B">
        <w:rPr>
          <w:sz w:val="22"/>
          <w:szCs w:val="22"/>
        </w:rPr>
        <w:t>and Family Services (DCFS) child welfare programs and</w:t>
      </w:r>
      <w:r w:rsidR="00BA559B" w:rsidRPr="00BA559B">
        <w:rPr>
          <w:sz w:val="22"/>
          <w:szCs w:val="22"/>
        </w:rPr>
        <w:t xml:space="preserve"> </w:t>
      </w:r>
    </w:p>
    <w:p w14:paraId="26B67611" w14:textId="77777777" w:rsidR="002B532F" w:rsidRPr="00BA559B" w:rsidRDefault="002B532F" w:rsidP="002B532F">
      <w:pPr>
        <w:pStyle w:val="Default"/>
        <w:rPr>
          <w:sz w:val="22"/>
          <w:szCs w:val="22"/>
        </w:rPr>
      </w:pPr>
      <w:r w:rsidRPr="00BA559B">
        <w:rPr>
          <w:sz w:val="22"/>
          <w:szCs w:val="22"/>
        </w:rPr>
        <w:t>•</w:t>
      </w:r>
      <w:r w:rsidR="00B77A4B" w:rsidRPr="00BA559B">
        <w:rPr>
          <w:sz w:val="22"/>
          <w:szCs w:val="22"/>
        </w:rPr>
        <w:t xml:space="preserve"> </w:t>
      </w:r>
      <w:r w:rsidRPr="00BA559B">
        <w:rPr>
          <w:sz w:val="22"/>
          <w:szCs w:val="22"/>
        </w:rPr>
        <w:t>Individuals 25 years or younger that participate in homeless youth programs.</w:t>
      </w:r>
    </w:p>
    <w:p w14:paraId="40DC3089" w14:textId="77777777" w:rsidR="00B77A4B" w:rsidRPr="00BA559B" w:rsidRDefault="00B77A4B" w:rsidP="002B532F">
      <w:pPr>
        <w:pStyle w:val="Default"/>
        <w:rPr>
          <w:sz w:val="22"/>
          <w:szCs w:val="22"/>
        </w:rPr>
      </w:pPr>
    </w:p>
    <w:p w14:paraId="5A3EC0C0" w14:textId="77777777" w:rsidR="00980C65" w:rsidRPr="00BA559B" w:rsidRDefault="002B532F" w:rsidP="002B532F">
      <w:pPr>
        <w:pStyle w:val="Default"/>
        <w:rPr>
          <w:sz w:val="22"/>
          <w:szCs w:val="22"/>
        </w:rPr>
      </w:pPr>
      <w:r w:rsidRPr="00BA559B">
        <w:rPr>
          <w:b/>
          <w:sz w:val="22"/>
          <w:szCs w:val="22"/>
        </w:rPr>
        <w:t>Veterans (experiencing or at risk of homelessness);</w:t>
      </w:r>
    </w:p>
    <w:p w14:paraId="34755C71" w14:textId="77777777" w:rsidR="00B77A4B" w:rsidRPr="00BA559B" w:rsidRDefault="00B77A4B" w:rsidP="00B77A4B">
      <w:pPr>
        <w:pStyle w:val="Default"/>
        <w:rPr>
          <w:b/>
          <w:sz w:val="22"/>
          <w:szCs w:val="22"/>
        </w:rPr>
      </w:pPr>
      <w:r w:rsidRPr="00BA559B">
        <w:rPr>
          <w:b/>
          <w:sz w:val="22"/>
          <w:szCs w:val="22"/>
        </w:rPr>
        <w:t>OTHER PSH POPULATIONS:</w:t>
      </w:r>
    </w:p>
    <w:p w14:paraId="15683AF6" w14:textId="77777777" w:rsidR="00B77A4B" w:rsidRPr="00BA559B" w:rsidRDefault="00B77A4B" w:rsidP="00B77A4B">
      <w:pPr>
        <w:pStyle w:val="Default"/>
        <w:rPr>
          <w:sz w:val="22"/>
          <w:szCs w:val="22"/>
        </w:rPr>
      </w:pPr>
      <w:r w:rsidRPr="00BA559B">
        <w:rPr>
          <w:sz w:val="22"/>
          <w:szCs w:val="22"/>
        </w:rPr>
        <w:t>The State of Illinois has been implementing transition responses to three American Disabilities</w:t>
      </w:r>
    </w:p>
    <w:p w14:paraId="5AAAB606" w14:textId="77777777" w:rsidR="00B77A4B" w:rsidRPr="00BA559B" w:rsidRDefault="00B77A4B" w:rsidP="00B77A4B">
      <w:pPr>
        <w:pStyle w:val="Default"/>
        <w:rPr>
          <w:sz w:val="22"/>
          <w:szCs w:val="22"/>
        </w:rPr>
      </w:pPr>
      <w:r w:rsidRPr="00BA559B">
        <w:rPr>
          <w:sz w:val="22"/>
          <w:szCs w:val="22"/>
        </w:rPr>
        <w:t>Act (ADA)/Olmstead-related court consent decrees, per the following:</w:t>
      </w:r>
    </w:p>
    <w:p w14:paraId="6215E908" w14:textId="4D41F298" w:rsidR="00B77A4B" w:rsidRDefault="00B77A4B" w:rsidP="00B77A4B">
      <w:pPr>
        <w:pStyle w:val="Default"/>
        <w:rPr>
          <w:sz w:val="22"/>
          <w:szCs w:val="22"/>
        </w:rPr>
      </w:pPr>
    </w:p>
    <w:p w14:paraId="76049518" w14:textId="77777777" w:rsidR="00385FB1" w:rsidRPr="00BA559B" w:rsidRDefault="00385FB1" w:rsidP="00B77A4B">
      <w:pPr>
        <w:pStyle w:val="Default"/>
        <w:rPr>
          <w:sz w:val="22"/>
          <w:szCs w:val="22"/>
        </w:rPr>
      </w:pPr>
    </w:p>
    <w:p w14:paraId="0F135DBB" w14:textId="3C590A42" w:rsidR="00B77A4B" w:rsidRPr="00BA559B" w:rsidRDefault="00B77A4B" w:rsidP="00B77A4B">
      <w:pPr>
        <w:pStyle w:val="Default"/>
        <w:rPr>
          <w:sz w:val="22"/>
          <w:szCs w:val="22"/>
        </w:rPr>
      </w:pPr>
      <w:r w:rsidRPr="00BA559B">
        <w:rPr>
          <w:b/>
          <w:sz w:val="22"/>
          <w:szCs w:val="22"/>
        </w:rPr>
        <w:lastRenderedPageBreak/>
        <w:t>• Colbert consent decree class members</w:t>
      </w:r>
      <w:r w:rsidRPr="00BA559B">
        <w:rPr>
          <w:sz w:val="22"/>
          <w:szCs w:val="22"/>
        </w:rPr>
        <w:t>: “All Medicaid-eligible adults with disabilities, who are</w:t>
      </w:r>
      <w:r w:rsidR="009F70FA">
        <w:rPr>
          <w:sz w:val="22"/>
          <w:szCs w:val="22"/>
        </w:rPr>
        <w:t xml:space="preserve"> </w:t>
      </w:r>
      <w:r w:rsidRPr="00BA559B">
        <w:rPr>
          <w:sz w:val="22"/>
          <w:szCs w:val="22"/>
        </w:rPr>
        <w:t>being, or may in the future be, unnecessarily confined to Nursing Facilities located in Cook</w:t>
      </w:r>
    </w:p>
    <w:p w14:paraId="74FF8780" w14:textId="77777777" w:rsidR="00B77A4B" w:rsidRPr="00BA559B" w:rsidRDefault="00B77A4B" w:rsidP="00B77A4B">
      <w:pPr>
        <w:pStyle w:val="Default"/>
        <w:rPr>
          <w:sz w:val="22"/>
          <w:szCs w:val="22"/>
        </w:rPr>
      </w:pPr>
      <w:r w:rsidRPr="00BA559B">
        <w:rPr>
          <w:sz w:val="22"/>
          <w:szCs w:val="22"/>
        </w:rPr>
        <w:t>County, Illinois, and who with appropriate supports and services may be able to live in a</w:t>
      </w:r>
    </w:p>
    <w:p w14:paraId="09FE3F07" w14:textId="77777777" w:rsidR="00B77A4B" w:rsidRPr="00BA559B" w:rsidRDefault="00B77A4B" w:rsidP="00B77A4B">
      <w:pPr>
        <w:pStyle w:val="Default"/>
        <w:rPr>
          <w:sz w:val="22"/>
          <w:szCs w:val="22"/>
        </w:rPr>
      </w:pPr>
      <w:r w:rsidRPr="00BA559B">
        <w:rPr>
          <w:sz w:val="22"/>
          <w:szCs w:val="22"/>
        </w:rPr>
        <w:t>Community-Based Setting.</w:t>
      </w:r>
    </w:p>
    <w:p w14:paraId="79C49707" w14:textId="77777777" w:rsidR="00B77A4B" w:rsidRPr="00BA559B" w:rsidRDefault="00B77A4B" w:rsidP="00B77A4B">
      <w:pPr>
        <w:pStyle w:val="Default"/>
        <w:rPr>
          <w:sz w:val="22"/>
          <w:szCs w:val="22"/>
        </w:rPr>
      </w:pPr>
    </w:p>
    <w:p w14:paraId="05E2DD2F" w14:textId="77777777" w:rsidR="00B77A4B" w:rsidRPr="00BA559B" w:rsidRDefault="00B77A4B" w:rsidP="00B77A4B">
      <w:pPr>
        <w:pStyle w:val="Default"/>
        <w:rPr>
          <w:sz w:val="22"/>
          <w:szCs w:val="22"/>
        </w:rPr>
      </w:pPr>
      <w:r w:rsidRPr="00BA559B">
        <w:rPr>
          <w:sz w:val="22"/>
          <w:szCs w:val="22"/>
        </w:rPr>
        <w:t>•</w:t>
      </w:r>
      <w:r w:rsidRPr="00BA559B">
        <w:rPr>
          <w:b/>
          <w:sz w:val="22"/>
          <w:szCs w:val="22"/>
        </w:rPr>
        <w:t>Williams consent decree class members:</w:t>
      </w:r>
      <w:r w:rsidRPr="00BA559B">
        <w:rPr>
          <w:sz w:val="22"/>
          <w:szCs w:val="22"/>
        </w:rPr>
        <w:t xml:space="preserve"> “All Illinois residents who are eighteen (18) years</w:t>
      </w:r>
    </w:p>
    <w:p w14:paraId="6B4C0E71" w14:textId="40C7AAA3" w:rsidR="00B77A4B" w:rsidRPr="00BA559B" w:rsidRDefault="00B77A4B" w:rsidP="00B77A4B">
      <w:pPr>
        <w:pStyle w:val="Default"/>
        <w:rPr>
          <w:sz w:val="22"/>
          <w:szCs w:val="22"/>
        </w:rPr>
      </w:pPr>
      <w:r w:rsidRPr="00BA559B">
        <w:rPr>
          <w:sz w:val="22"/>
          <w:szCs w:val="22"/>
        </w:rPr>
        <w:t xml:space="preserve">old or older and who: have a Mental Illness; are institutionalized in a </w:t>
      </w:r>
      <w:r w:rsidR="009F70FA" w:rsidRPr="00BA559B">
        <w:rPr>
          <w:sz w:val="22"/>
          <w:szCs w:val="22"/>
        </w:rPr>
        <w:t>privately</w:t>
      </w:r>
      <w:r w:rsidR="009F70FA">
        <w:rPr>
          <w:sz w:val="22"/>
          <w:szCs w:val="22"/>
        </w:rPr>
        <w:t>-owned</w:t>
      </w:r>
      <w:r w:rsidRPr="00BA559B">
        <w:rPr>
          <w:sz w:val="22"/>
          <w:szCs w:val="22"/>
        </w:rPr>
        <w:t xml:space="preserve"> Institute for</w:t>
      </w:r>
    </w:p>
    <w:p w14:paraId="5FD2F1FF" w14:textId="77777777" w:rsidR="00B77A4B" w:rsidRPr="00BA559B" w:rsidRDefault="00B77A4B" w:rsidP="00B77A4B">
      <w:pPr>
        <w:pStyle w:val="Default"/>
        <w:rPr>
          <w:sz w:val="22"/>
          <w:szCs w:val="22"/>
        </w:rPr>
      </w:pPr>
      <w:r w:rsidRPr="00BA559B">
        <w:rPr>
          <w:sz w:val="22"/>
          <w:szCs w:val="22"/>
        </w:rPr>
        <w:t>Mental Diseases; and, with appropriate supports and services, may be able to live in an</w:t>
      </w:r>
    </w:p>
    <w:p w14:paraId="3A9AA1AC" w14:textId="77777777" w:rsidR="00B77A4B" w:rsidRPr="00BA559B" w:rsidRDefault="00B77A4B" w:rsidP="00B77A4B">
      <w:pPr>
        <w:pStyle w:val="Default"/>
        <w:rPr>
          <w:sz w:val="22"/>
          <w:szCs w:val="22"/>
        </w:rPr>
      </w:pPr>
      <w:r w:rsidRPr="00BA559B">
        <w:rPr>
          <w:sz w:val="22"/>
          <w:szCs w:val="22"/>
        </w:rPr>
        <w:t>integrated community setting,</w:t>
      </w:r>
    </w:p>
    <w:p w14:paraId="59391BC0" w14:textId="77777777" w:rsidR="00B77A4B" w:rsidRPr="00BA559B" w:rsidRDefault="00B77A4B" w:rsidP="00B77A4B">
      <w:pPr>
        <w:pStyle w:val="Default"/>
        <w:rPr>
          <w:sz w:val="22"/>
          <w:szCs w:val="22"/>
        </w:rPr>
      </w:pPr>
    </w:p>
    <w:p w14:paraId="7EEA6D89" w14:textId="77777777" w:rsidR="00B77A4B" w:rsidRPr="00BA559B" w:rsidRDefault="00B77A4B" w:rsidP="00B77A4B">
      <w:pPr>
        <w:pStyle w:val="Default"/>
        <w:rPr>
          <w:sz w:val="22"/>
          <w:szCs w:val="22"/>
        </w:rPr>
      </w:pPr>
      <w:r w:rsidRPr="00BA559B">
        <w:rPr>
          <w:b/>
          <w:sz w:val="22"/>
          <w:szCs w:val="22"/>
        </w:rPr>
        <w:t xml:space="preserve">• </w:t>
      </w:r>
      <w:proofErr w:type="spellStart"/>
      <w:r w:rsidRPr="00BA559B">
        <w:rPr>
          <w:b/>
          <w:sz w:val="22"/>
          <w:szCs w:val="22"/>
        </w:rPr>
        <w:t>Ligas</w:t>
      </w:r>
      <w:proofErr w:type="spellEnd"/>
      <w:r w:rsidRPr="00BA559B">
        <w:rPr>
          <w:b/>
          <w:sz w:val="22"/>
          <w:szCs w:val="22"/>
        </w:rPr>
        <w:t xml:space="preserve"> consent decree class members</w:t>
      </w:r>
      <w:r w:rsidRPr="00BA559B">
        <w:rPr>
          <w:sz w:val="22"/>
          <w:szCs w:val="22"/>
        </w:rPr>
        <w:t>: “Adult individuals in Illinois with developmental</w:t>
      </w:r>
    </w:p>
    <w:p w14:paraId="02792A58" w14:textId="77777777" w:rsidR="00B77A4B" w:rsidRPr="00BA559B" w:rsidRDefault="00B77A4B" w:rsidP="00B77A4B">
      <w:pPr>
        <w:pStyle w:val="Default"/>
        <w:rPr>
          <w:sz w:val="22"/>
          <w:szCs w:val="22"/>
        </w:rPr>
      </w:pPr>
      <w:r w:rsidRPr="00BA559B">
        <w:rPr>
          <w:sz w:val="22"/>
          <w:szCs w:val="22"/>
        </w:rPr>
        <w:t>disabilities who qualify for Medicaid Waiver services, who reside in [Intermediate Care Facilities</w:t>
      </w:r>
    </w:p>
    <w:p w14:paraId="7D5A11F6" w14:textId="77777777" w:rsidR="00B77A4B" w:rsidRPr="00BA559B" w:rsidRDefault="00B77A4B" w:rsidP="00B77A4B">
      <w:pPr>
        <w:pStyle w:val="Default"/>
        <w:rPr>
          <w:sz w:val="22"/>
          <w:szCs w:val="22"/>
        </w:rPr>
      </w:pPr>
      <w:r w:rsidRPr="00BA559B">
        <w:rPr>
          <w:sz w:val="22"/>
          <w:szCs w:val="22"/>
        </w:rPr>
        <w:t>for Developmental Disabilities] ICF/DD with nine or more residents or live in family homes, and</w:t>
      </w:r>
    </w:p>
    <w:p w14:paraId="036FF9B8" w14:textId="77777777" w:rsidR="00B77A4B" w:rsidRPr="00BA559B" w:rsidRDefault="00B77A4B" w:rsidP="00B77A4B">
      <w:pPr>
        <w:pStyle w:val="Default"/>
        <w:rPr>
          <w:sz w:val="22"/>
          <w:szCs w:val="22"/>
        </w:rPr>
      </w:pPr>
      <w:r w:rsidRPr="00BA559B">
        <w:rPr>
          <w:sz w:val="22"/>
          <w:szCs w:val="22"/>
        </w:rPr>
        <w:t>who affirmatively request to receive Community-Based Services or placement in a Community-</w:t>
      </w:r>
    </w:p>
    <w:p w14:paraId="79CBA8E2" w14:textId="77777777" w:rsidR="00B77A4B" w:rsidRPr="00BA559B" w:rsidRDefault="00B77A4B" w:rsidP="00B77A4B">
      <w:pPr>
        <w:pStyle w:val="Default"/>
        <w:rPr>
          <w:sz w:val="22"/>
          <w:szCs w:val="22"/>
        </w:rPr>
      </w:pPr>
      <w:r w:rsidRPr="00BA559B">
        <w:rPr>
          <w:sz w:val="22"/>
          <w:szCs w:val="22"/>
        </w:rPr>
        <w:t>Based Setting.”</w:t>
      </w:r>
    </w:p>
    <w:p w14:paraId="151AEA47" w14:textId="77777777" w:rsidR="00B77A4B" w:rsidRPr="00BA559B" w:rsidRDefault="00B77A4B" w:rsidP="00B77A4B">
      <w:pPr>
        <w:pStyle w:val="Default"/>
        <w:rPr>
          <w:sz w:val="22"/>
          <w:szCs w:val="22"/>
        </w:rPr>
      </w:pPr>
    </w:p>
    <w:p w14:paraId="449A6927" w14:textId="77777777" w:rsidR="00B77A4B" w:rsidRPr="00BA559B" w:rsidRDefault="00B77A4B" w:rsidP="00B77A4B">
      <w:pPr>
        <w:pStyle w:val="Default"/>
        <w:rPr>
          <w:sz w:val="22"/>
          <w:szCs w:val="22"/>
        </w:rPr>
      </w:pPr>
      <w:r w:rsidRPr="00BA559B">
        <w:rPr>
          <w:sz w:val="22"/>
          <w:szCs w:val="22"/>
        </w:rPr>
        <w:t>Other persons with disabilities who are inappropriately institutionalized: On June 22, 1999, the</w:t>
      </w:r>
    </w:p>
    <w:p w14:paraId="72C0E252" w14:textId="77777777" w:rsidR="00B77A4B" w:rsidRPr="00BA559B" w:rsidRDefault="00B77A4B" w:rsidP="00B77A4B">
      <w:pPr>
        <w:pStyle w:val="Default"/>
        <w:rPr>
          <w:sz w:val="22"/>
          <w:szCs w:val="22"/>
        </w:rPr>
      </w:pPr>
      <w:r w:rsidRPr="00BA559B">
        <w:rPr>
          <w:sz w:val="22"/>
          <w:szCs w:val="22"/>
        </w:rPr>
        <w:t>United States Supreme Court held in Olmstead v. L.C. that unjustified segregation of persons with disabilities constitutes discrimination in violation of Title II of the Americans with Disabilities Act. The Court held that people with disabilities have a right to receive State-funded supports and services in the community rather than institutions.</w:t>
      </w:r>
    </w:p>
    <w:p w14:paraId="6CB745DE" w14:textId="77777777" w:rsidR="00B77A4B" w:rsidRPr="00BA559B" w:rsidRDefault="00B77A4B" w:rsidP="00B77A4B">
      <w:pPr>
        <w:pStyle w:val="Default"/>
        <w:rPr>
          <w:sz w:val="22"/>
          <w:szCs w:val="22"/>
        </w:rPr>
      </w:pPr>
    </w:p>
    <w:p w14:paraId="4E004D02" w14:textId="77777777" w:rsidR="00B77A4B" w:rsidRPr="00BA559B" w:rsidRDefault="00B77A4B" w:rsidP="00B77A4B">
      <w:pPr>
        <w:pStyle w:val="Default"/>
        <w:rPr>
          <w:sz w:val="22"/>
          <w:szCs w:val="22"/>
        </w:rPr>
      </w:pPr>
      <w:r w:rsidRPr="00BA559B">
        <w:rPr>
          <w:sz w:val="22"/>
          <w:szCs w:val="22"/>
        </w:rPr>
        <w:t>Other persons with physical, mental, or developmental disabilities not a part of the three</w:t>
      </w:r>
    </w:p>
    <w:p w14:paraId="7C972D33" w14:textId="77777777" w:rsidR="00B77A4B" w:rsidRPr="00BA559B" w:rsidRDefault="00B77A4B" w:rsidP="00B77A4B">
      <w:pPr>
        <w:pStyle w:val="Default"/>
        <w:rPr>
          <w:sz w:val="22"/>
          <w:szCs w:val="22"/>
        </w:rPr>
      </w:pPr>
      <w:r w:rsidRPr="00BA559B">
        <w:rPr>
          <w:sz w:val="22"/>
          <w:szCs w:val="22"/>
        </w:rPr>
        <w:t>consent decree classes described above:</w:t>
      </w:r>
    </w:p>
    <w:p w14:paraId="4EADF7CF" w14:textId="77777777" w:rsidR="00B77A4B" w:rsidRPr="00BA559B" w:rsidRDefault="00B77A4B" w:rsidP="00B77A4B">
      <w:pPr>
        <w:pStyle w:val="Default"/>
        <w:rPr>
          <w:sz w:val="22"/>
          <w:szCs w:val="22"/>
        </w:rPr>
      </w:pPr>
    </w:p>
    <w:p w14:paraId="0308AAD4" w14:textId="77777777" w:rsidR="00B77A4B" w:rsidRPr="00BA559B" w:rsidRDefault="00B77A4B" w:rsidP="00B77A4B">
      <w:pPr>
        <w:pStyle w:val="Default"/>
        <w:rPr>
          <w:sz w:val="22"/>
          <w:szCs w:val="22"/>
        </w:rPr>
      </w:pPr>
      <w:r w:rsidRPr="00BA559B">
        <w:rPr>
          <w:b/>
          <w:sz w:val="22"/>
          <w:szCs w:val="22"/>
        </w:rPr>
        <w:t xml:space="preserve">• Serious Mental Illness (SMI): </w:t>
      </w:r>
      <w:r w:rsidRPr="00BA559B">
        <w:rPr>
          <w:sz w:val="22"/>
          <w:szCs w:val="22"/>
        </w:rPr>
        <w:t>SMI includes a list of mood and schizophrenic disorders, along</w:t>
      </w:r>
    </w:p>
    <w:p w14:paraId="7E8E2655" w14:textId="77777777" w:rsidR="00B77A4B" w:rsidRPr="00BA559B" w:rsidRDefault="00B77A4B" w:rsidP="00B77A4B">
      <w:pPr>
        <w:pStyle w:val="Default"/>
        <w:rPr>
          <w:sz w:val="22"/>
          <w:szCs w:val="22"/>
        </w:rPr>
      </w:pPr>
      <w:r w:rsidRPr="00BA559B">
        <w:rPr>
          <w:sz w:val="22"/>
          <w:szCs w:val="22"/>
        </w:rPr>
        <w:t xml:space="preserve">with other qualifying items, </w:t>
      </w:r>
      <w:proofErr w:type="gramStart"/>
      <w:r w:rsidRPr="00BA559B">
        <w:rPr>
          <w:sz w:val="22"/>
          <w:szCs w:val="22"/>
        </w:rPr>
        <w:t>in order to</w:t>
      </w:r>
      <w:proofErr w:type="gramEnd"/>
      <w:r w:rsidRPr="00BA559B">
        <w:rPr>
          <w:sz w:val="22"/>
          <w:szCs w:val="22"/>
        </w:rPr>
        <w:t xml:space="preserve"> be treated by DHS-Division of Mental Health (DMH).</w:t>
      </w:r>
    </w:p>
    <w:p w14:paraId="2E61883D" w14:textId="77777777" w:rsidR="00B77A4B" w:rsidRPr="00BA559B" w:rsidRDefault="00B77A4B" w:rsidP="00B77A4B">
      <w:pPr>
        <w:pStyle w:val="Default"/>
        <w:rPr>
          <w:sz w:val="22"/>
          <w:szCs w:val="22"/>
        </w:rPr>
      </w:pPr>
    </w:p>
    <w:p w14:paraId="6EB45237" w14:textId="77777777" w:rsidR="00B77A4B" w:rsidRPr="00BA559B" w:rsidRDefault="00B77A4B" w:rsidP="00B77A4B">
      <w:pPr>
        <w:pStyle w:val="Default"/>
        <w:rPr>
          <w:sz w:val="22"/>
          <w:szCs w:val="22"/>
        </w:rPr>
      </w:pPr>
      <w:r w:rsidRPr="00BA559B">
        <w:rPr>
          <w:b/>
          <w:sz w:val="22"/>
          <w:szCs w:val="22"/>
        </w:rPr>
        <w:t>• Disability</w:t>
      </w:r>
      <w:r w:rsidRPr="00BA559B">
        <w:rPr>
          <w:sz w:val="22"/>
          <w:szCs w:val="22"/>
        </w:rPr>
        <w:t>: a physical or mental impairment that substantially limits one or more major life</w:t>
      </w:r>
    </w:p>
    <w:p w14:paraId="16C301D1" w14:textId="77777777" w:rsidR="00B77A4B" w:rsidRPr="00BA559B" w:rsidRDefault="00B77A4B" w:rsidP="00B77A4B">
      <w:pPr>
        <w:pStyle w:val="Default"/>
        <w:rPr>
          <w:sz w:val="22"/>
          <w:szCs w:val="22"/>
        </w:rPr>
      </w:pPr>
      <w:r w:rsidRPr="00BA559B">
        <w:rPr>
          <w:sz w:val="22"/>
          <w:szCs w:val="22"/>
        </w:rPr>
        <w:t>activities of such individual; a record of such an impairment; or being regarded as having such</w:t>
      </w:r>
    </w:p>
    <w:p w14:paraId="52296FE3" w14:textId="77777777" w:rsidR="00B77A4B" w:rsidRPr="00BA559B" w:rsidRDefault="00B77A4B" w:rsidP="00B77A4B">
      <w:pPr>
        <w:pStyle w:val="Default"/>
        <w:rPr>
          <w:sz w:val="22"/>
          <w:szCs w:val="22"/>
        </w:rPr>
      </w:pPr>
      <w:r w:rsidRPr="00BA559B">
        <w:rPr>
          <w:sz w:val="22"/>
          <w:szCs w:val="22"/>
        </w:rPr>
        <w:t>an impairment. Major life activities include but are not limited to, caring for oneself, performing</w:t>
      </w:r>
    </w:p>
    <w:p w14:paraId="1AB643D0" w14:textId="77777777" w:rsidR="00B77A4B" w:rsidRPr="00BA559B" w:rsidRDefault="00B77A4B" w:rsidP="00B77A4B">
      <w:pPr>
        <w:pStyle w:val="Default"/>
        <w:rPr>
          <w:sz w:val="22"/>
          <w:szCs w:val="22"/>
        </w:rPr>
      </w:pPr>
      <w:r w:rsidRPr="00BA559B">
        <w:rPr>
          <w:sz w:val="22"/>
          <w:szCs w:val="22"/>
        </w:rPr>
        <w:t>manual tasks, seeing, hearing, eating, sleeping, walking, standing, lifting, bending, speaking,</w:t>
      </w:r>
    </w:p>
    <w:p w14:paraId="5D544F10" w14:textId="77777777" w:rsidR="00B77A4B" w:rsidRPr="00BA559B" w:rsidRDefault="00B77A4B" w:rsidP="00B77A4B">
      <w:pPr>
        <w:pStyle w:val="Default"/>
        <w:rPr>
          <w:sz w:val="22"/>
          <w:szCs w:val="22"/>
        </w:rPr>
      </w:pPr>
      <w:r w:rsidRPr="00BA559B">
        <w:rPr>
          <w:sz w:val="22"/>
          <w:szCs w:val="22"/>
        </w:rPr>
        <w:t>breathing, learning, reading, concentrating, thinking, communicating, and working. Major life</w:t>
      </w:r>
    </w:p>
    <w:p w14:paraId="066A041D" w14:textId="77777777" w:rsidR="00B77A4B" w:rsidRPr="00BA559B" w:rsidRDefault="00B77A4B" w:rsidP="00B77A4B">
      <w:pPr>
        <w:pStyle w:val="Default"/>
        <w:rPr>
          <w:sz w:val="22"/>
          <w:szCs w:val="22"/>
        </w:rPr>
      </w:pPr>
      <w:r w:rsidRPr="00BA559B">
        <w:rPr>
          <w:sz w:val="22"/>
          <w:szCs w:val="22"/>
        </w:rPr>
        <w:t>activity also includes the operation of a major bodily function, including but not limited to,</w:t>
      </w:r>
    </w:p>
    <w:p w14:paraId="2C2C8435" w14:textId="77777777" w:rsidR="00B77A4B" w:rsidRPr="00BA559B" w:rsidRDefault="00B77A4B" w:rsidP="00B77A4B">
      <w:pPr>
        <w:pStyle w:val="Default"/>
        <w:rPr>
          <w:sz w:val="22"/>
          <w:szCs w:val="22"/>
        </w:rPr>
      </w:pPr>
      <w:r w:rsidRPr="00BA559B">
        <w:rPr>
          <w:sz w:val="22"/>
          <w:szCs w:val="22"/>
        </w:rPr>
        <w:t>functions of the immune system, normal cell growth, digestive, bowel, bladder, neurological,</w:t>
      </w:r>
    </w:p>
    <w:p w14:paraId="42D8BD85" w14:textId="77777777" w:rsidR="00B77A4B" w:rsidRPr="00BA559B" w:rsidRDefault="00B77A4B" w:rsidP="00B77A4B">
      <w:pPr>
        <w:pStyle w:val="Default"/>
        <w:rPr>
          <w:sz w:val="22"/>
          <w:szCs w:val="22"/>
        </w:rPr>
      </w:pPr>
      <w:r w:rsidRPr="00BA559B">
        <w:rPr>
          <w:sz w:val="22"/>
          <w:szCs w:val="22"/>
        </w:rPr>
        <w:t>brain, respiratory, circulatory, endocrine, and reproductive functions</w:t>
      </w:r>
    </w:p>
    <w:p w14:paraId="0FEB701C" w14:textId="77777777" w:rsidR="00B77A4B" w:rsidRPr="00BA559B" w:rsidRDefault="00B77A4B" w:rsidP="00B77A4B">
      <w:pPr>
        <w:pStyle w:val="Default"/>
        <w:rPr>
          <w:sz w:val="22"/>
          <w:szCs w:val="22"/>
        </w:rPr>
      </w:pPr>
    </w:p>
    <w:p w14:paraId="56389F03" w14:textId="77777777" w:rsidR="00B77A4B" w:rsidRPr="00BA559B" w:rsidRDefault="00B77A4B" w:rsidP="00B77A4B">
      <w:pPr>
        <w:pStyle w:val="Default"/>
        <w:rPr>
          <w:sz w:val="22"/>
          <w:szCs w:val="22"/>
        </w:rPr>
      </w:pPr>
      <w:r w:rsidRPr="00BA559B">
        <w:rPr>
          <w:sz w:val="22"/>
          <w:szCs w:val="22"/>
        </w:rPr>
        <w:t>•</w:t>
      </w:r>
      <w:r w:rsidRPr="00BA559B">
        <w:rPr>
          <w:b/>
          <w:sz w:val="22"/>
          <w:szCs w:val="22"/>
        </w:rPr>
        <w:t>Developmental disability:</w:t>
      </w:r>
      <w:r w:rsidRPr="00BA559B">
        <w:rPr>
          <w:sz w:val="22"/>
          <w:szCs w:val="22"/>
        </w:rPr>
        <w:t xml:space="preserve"> “a disability which is attributable to: (a) an intellectual disability,</w:t>
      </w:r>
    </w:p>
    <w:p w14:paraId="553922CF" w14:textId="77777777" w:rsidR="00B77A4B" w:rsidRPr="00BA559B" w:rsidRDefault="00B77A4B" w:rsidP="00B77A4B">
      <w:pPr>
        <w:pStyle w:val="Default"/>
        <w:rPr>
          <w:sz w:val="22"/>
          <w:szCs w:val="22"/>
        </w:rPr>
      </w:pPr>
      <w:r w:rsidRPr="00BA559B">
        <w:rPr>
          <w:sz w:val="22"/>
          <w:szCs w:val="22"/>
        </w:rPr>
        <w:t>cerebral palsy, epilepsy or autism; or (b) any other condition which results in impairment similar</w:t>
      </w:r>
    </w:p>
    <w:p w14:paraId="0BF94E8C" w14:textId="77777777" w:rsidR="00B77A4B" w:rsidRPr="00BA559B" w:rsidRDefault="00B77A4B" w:rsidP="00B77A4B">
      <w:pPr>
        <w:pStyle w:val="Default"/>
        <w:rPr>
          <w:sz w:val="22"/>
          <w:szCs w:val="22"/>
        </w:rPr>
      </w:pPr>
      <w:r w:rsidRPr="00BA559B">
        <w:rPr>
          <w:sz w:val="22"/>
          <w:szCs w:val="22"/>
        </w:rPr>
        <w:t xml:space="preserve">to that caused by an intellectual disability and which requires services </w:t>
      </w:r>
      <w:proofErr w:type="gramStart"/>
      <w:r w:rsidRPr="00BA559B">
        <w:rPr>
          <w:sz w:val="22"/>
          <w:szCs w:val="22"/>
        </w:rPr>
        <w:t>similar to</w:t>
      </w:r>
      <w:proofErr w:type="gramEnd"/>
      <w:r w:rsidRPr="00BA559B">
        <w:rPr>
          <w:sz w:val="22"/>
          <w:szCs w:val="22"/>
        </w:rPr>
        <w:t xml:space="preserve"> those required</w:t>
      </w:r>
    </w:p>
    <w:p w14:paraId="7647012F" w14:textId="77777777" w:rsidR="00B77A4B" w:rsidRPr="00BA559B" w:rsidRDefault="00B77A4B" w:rsidP="00B77A4B">
      <w:pPr>
        <w:pStyle w:val="Default"/>
        <w:rPr>
          <w:sz w:val="22"/>
          <w:szCs w:val="22"/>
        </w:rPr>
      </w:pPr>
      <w:r w:rsidRPr="00BA559B">
        <w:rPr>
          <w:sz w:val="22"/>
          <w:szCs w:val="22"/>
        </w:rPr>
        <w:t>http://www.dhs.state.il.us/OneNetLibrary/27897/documents/Mental%20Health/LegalDocs/EnteredWilliamsConsentDecree.pdf</w:t>
      </w:r>
    </w:p>
    <w:p w14:paraId="77D5A95A" w14:textId="77777777" w:rsidR="000871B5" w:rsidRDefault="000871B5" w:rsidP="00813ADF">
      <w:pPr>
        <w:autoSpaceDE w:val="0"/>
        <w:autoSpaceDN w:val="0"/>
        <w:adjustRightInd w:val="0"/>
        <w:spacing w:after="0" w:line="240" w:lineRule="auto"/>
        <w:rPr>
          <w:rFonts w:ascii="Arial" w:hAnsi="Arial" w:cs="Arial"/>
          <w:b/>
          <w:color w:val="000000"/>
        </w:rPr>
      </w:pPr>
    </w:p>
    <w:p w14:paraId="746712FD" w14:textId="0E629AB4" w:rsidR="00813ADF" w:rsidRPr="00BA559B" w:rsidRDefault="00813ADF" w:rsidP="00813ADF">
      <w:pPr>
        <w:autoSpaceDE w:val="0"/>
        <w:autoSpaceDN w:val="0"/>
        <w:adjustRightInd w:val="0"/>
        <w:spacing w:after="0" w:line="240" w:lineRule="auto"/>
        <w:rPr>
          <w:rFonts w:ascii="Arial" w:hAnsi="Arial" w:cs="Arial"/>
          <w:b/>
          <w:color w:val="000000"/>
        </w:rPr>
      </w:pPr>
      <w:r w:rsidRPr="00BA559B">
        <w:rPr>
          <w:rFonts w:ascii="Arial" w:hAnsi="Arial" w:cs="Arial"/>
          <w:b/>
          <w:color w:val="000000"/>
        </w:rPr>
        <w:t>Comparing: Permanent Supportive Housing vs. Institutions</w:t>
      </w:r>
      <w:r w:rsidR="00E66D6F" w:rsidRPr="00BA559B">
        <w:rPr>
          <w:rFonts w:ascii="Arial" w:hAnsi="Arial" w:cs="Arial"/>
          <w:b/>
          <w:color w:val="000000"/>
        </w:rPr>
        <w:t xml:space="preserve"> or Homelessness</w:t>
      </w:r>
      <w:r w:rsidRPr="00BA559B">
        <w:rPr>
          <w:rFonts w:ascii="Arial" w:hAnsi="Arial" w:cs="Arial"/>
          <w:b/>
          <w:color w:val="000000"/>
        </w:rPr>
        <w:t xml:space="preserve"> </w:t>
      </w:r>
    </w:p>
    <w:p w14:paraId="315058C4" w14:textId="77777777" w:rsidR="00980C65" w:rsidRPr="00BA559B" w:rsidRDefault="00813ADF" w:rsidP="00813ADF">
      <w:pPr>
        <w:pStyle w:val="Default"/>
        <w:rPr>
          <w:sz w:val="22"/>
          <w:szCs w:val="22"/>
        </w:rPr>
      </w:pPr>
      <w:r w:rsidRPr="00BA559B">
        <w:rPr>
          <w:sz w:val="22"/>
          <w:szCs w:val="22"/>
        </w:rPr>
        <w:t>The Working Group asserts that community-based PSH is more cost-effective than any institutional setting per person or unit. In reaching this conclusion, the Working Group examined the highest amount for each of the three components of PSH (operating costs, rental assistance, and supportive services). After calculating a higher amount for each of these components of PSH (per unit/person) and comparing to the average costs for many types of institutions (per person) it is evident that living in PSH in the community costs 27-49% less than any of these institutional settings.</w:t>
      </w:r>
    </w:p>
    <w:tbl>
      <w:tblPr>
        <w:tblW w:w="9940" w:type="dxa"/>
        <w:tblInd w:w="-108" w:type="dxa"/>
        <w:tblBorders>
          <w:top w:val="nil"/>
          <w:left w:val="nil"/>
          <w:bottom w:val="nil"/>
          <w:right w:val="nil"/>
        </w:tblBorders>
        <w:tblLayout w:type="fixed"/>
        <w:tblLook w:val="0000" w:firstRow="0" w:lastRow="0" w:firstColumn="0" w:lastColumn="0" w:noHBand="0" w:noVBand="0"/>
      </w:tblPr>
      <w:tblGrid>
        <w:gridCol w:w="2485"/>
        <w:gridCol w:w="2942"/>
        <w:gridCol w:w="2884"/>
        <w:gridCol w:w="1629"/>
      </w:tblGrid>
      <w:tr w:rsidR="00813ADF" w:rsidRPr="00813ADF" w14:paraId="4F349E75" w14:textId="77777777" w:rsidTr="00CE585A">
        <w:trPr>
          <w:trHeight w:val="693"/>
        </w:trPr>
        <w:tc>
          <w:tcPr>
            <w:tcW w:w="2485" w:type="dxa"/>
          </w:tcPr>
          <w:p w14:paraId="6BFCE64A" w14:textId="77777777" w:rsidR="00CE585A" w:rsidRDefault="00CE585A" w:rsidP="00813ADF">
            <w:pPr>
              <w:autoSpaceDE w:val="0"/>
              <w:autoSpaceDN w:val="0"/>
              <w:adjustRightInd w:val="0"/>
              <w:spacing w:after="0" w:line="240" w:lineRule="auto"/>
              <w:rPr>
                <w:rFonts w:ascii="Arial" w:hAnsi="Arial" w:cs="Arial"/>
                <w:b/>
                <w:color w:val="000000"/>
              </w:rPr>
            </w:pPr>
          </w:p>
          <w:p w14:paraId="601BA216" w14:textId="77777777" w:rsidR="00813ADF" w:rsidRPr="00813ADF" w:rsidRDefault="00CE585A" w:rsidP="00CE585A">
            <w:pPr>
              <w:autoSpaceDE w:val="0"/>
              <w:autoSpaceDN w:val="0"/>
              <w:adjustRightInd w:val="0"/>
              <w:spacing w:after="0" w:line="240" w:lineRule="auto"/>
              <w:jc w:val="center"/>
              <w:rPr>
                <w:rFonts w:ascii="Arial" w:hAnsi="Arial" w:cs="Arial"/>
                <w:b/>
                <w:color w:val="000000"/>
                <w:sz w:val="24"/>
                <w:szCs w:val="24"/>
              </w:rPr>
            </w:pPr>
            <w:r w:rsidRPr="00CE585A">
              <w:rPr>
                <w:rFonts w:ascii="Arial" w:hAnsi="Arial" w:cs="Arial"/>
                <w:b/>
                <w:color w:val="000000"/>
                <w:sz w:val="24"/>
                <w:szCs w:val="24"/>
              </w:rPr>
              <w:t>Highest PSH Cost</w:t>
            </w:r>
          </w:p>
        </w:tc>
        <w:tc>
          <w:tcPr>
            <w:tcW w:w="2942" w:type="dxa"/>
            <w:vAlign w:val="center"/>
          </w:tcPr>
          <w:p w14:paraId="1F2613EA" w14:textId="77777777" w:rsidR="00CD6BC5" w:rsidRDefault="00CD6BC5" w:rsidP="00CD6BC5">
            <w:pPr>
              <w:pStyle w:val="Default"/>
              <w:outlineLvl w:val="0"/>
              <w:rPr>
                <w:b/>
                <w:bCs/>
                <w:sz w:val="22"/>
                <w:szCs w:val="22"/>
              </w:rPr>
            </w:pPr>
            <w:r>
              <w:rPr>
                <w:b/>
                <w:bCs/>
                <w:sz w:val="22"/>
                <w:szCs w:val="22"/>
              </w:rPr>
              <w:t xml:space="preserve"> </w:t>
            </w:r>
          </w:p>
          <w:p w14:paraId="12D6BD65" w14:textId="77777777" w:rsidR="00813ADF" w:rsidRPr="00813ADF" w:rsidRDefault="00CD6BC5" w:rsidP="00CD6BC5">
            <w:pPr>
              <w:pStyle w:val="Default"/>
              <w:outlineLvl w:val="0"/>
              <w:rPr>
                <w:sz w:val="22"/>
                <w:szCs w:val="22"/>
              </w:rPr>
            </w:pPr>
            <w:r>
              <w:rPr>
                <w:b/>
                <w:bCs/>
                <w:sz w:val="22"/>
                <w:szCs w:val="22"/>
              </w:rPr>
              <w:t xml:space="preserve">     </w:t>
            </w:r>
            <w:r w:rsidR="008107E7">
              <w:rPr>
                <w:b/>
                <w:bCs/>
                <w:sz w:val="22"/>
                <w:szCs w:val="22"/>
              </w:rPr>
              <w:t>State</w:t>
            </w:r>
            <w:r>
              <w:rPr>
                <w:b/>
                <w:bCs/>
                <w:sz w:val="22"/>
                <w:szCs w:val="22"/>
              </w:rPr>
              <w:t xml:space="preserve"> </w:t>
            </w:r>
            <w:r w:rsidR="008107E7">
              <w:rPr>
                <w:b/>
                <w:bCs/>
                <w:sz w:val="22"/>
                <w:szCs w:val="22"/>
              </w:rPr>
              <w:t>Cost of Institutionalization and Homelessness</w:t>
            </w:r>
          </w:p>
          <w:p w14:paraId="532C86CF" w14:textId="77777777" w:rsidR="00813ADF" w:rsidRPr="00813ADF" w:rsidRDefault="00813ADF" w:rsidP="00CE585A">
            <w:pPr>
              <w:autoSpaceDE w:val="0"/>
              <w:autoSpaceDN w:val="0"/>
              <w:adjustRightInd w:val="0"/>
              <w:spacing w:after="0" w:line="240" w:lineRule="auto"/>
              <w:jc w:val="center"/>
              <w:rPr>
                <w:rFonts w:ascii="Arial" w:hAnsi="Arial" w:cs="Arial"/>
                <w:color w:val="000000"/>
              </w:rPr>
            </w:pPr>
          </w:p>
        </w:tc>
        <w:tc>
          <w:tcPr>
            <w:tcW w:w="2884" w:type="dxa"/>
            <w:vAlign w:val="center"/>
          </w:tcPr>
          <w:p w14:paraId="6E3C9919" w14:textId="77777777" w:rsidR="00CD6BC5" w:rsidRDefault="00813ADF" w:rsidP="00CD6BC5">
            <w:pPr>
              <w:pStyle w:val="Default"/>
              <w:jc w:val="center"/>
              <w:rPr>
                <w:b/>
                <w:bCs/>
                <w:sz w:val="22"/>
                <w:szCs w:val="22"/>
              </w:rPr>
            </w:pPr>
            <w:r w:rsidRPr="00813ADF">
              <w:rPr>
                <w:b/>
                <w:bCs/>
                <w:sz w:val="22"/>
                <w:szCs w:val="22"/>
              </w:rPr>
              <w:t>Savings Per Unit</w:t>
            </w:r>
          </w:p>
          <w:p w14:paraId="25CA557C" w14:textId="77777777" w:rsidR="00813ADF" w:rsidRPr="00813ADF" w:rsidRDefault="00813ADF" w:rsidP="00CD6BC5">
            <w:pPr>
              <w:pStyle w:val="Default"/>
              <w:jc w:val="center"/>
              <w:rPr>
                <w:sz w:val="22"/>
                <w:szCs w:val="22"/>
              </w:rPr>
            </w:pPr>
            <w:r w:rsidRPr="00813ADF">
              <w:rPr>
                <w:b/>
                <w:bCs/>
                <w:sz w:val="22"/>
                <w:szCs w:val="22"/>
              </w:rPr>
              <w:t>Per Year</w:t>
            </w:r>
          </w:p>
          <w:p w14:paraId="5E3E4432" w14:textId="77777777" w:rsidR="00813ADF" w:rsidRPr="00813ADF" w:rsidRDefault="00813ADF" w:rsidP="00CE585A">
            <w:pPr>
              <w:autoSpaceDE w:val="0"/>
              <w:autoSpaceDN w:val="0"/>
              <w:adjustRightInd w:val="0"/>
              <w:spacing w:after="0" w:line="240" w:lineRule="auto"/>
              <w:jc w:val="center"/>
              <w:rPr>
                <w:rFonts w:ascii="Arial" w:hAnsi="Arial" w:cs="Arial"/>
                <w:color w:val="000000"/>
              </w:rPr>
            </w:pPr>
          </w:p>
        </w:tc>
        <w:tc>
          <w:tcPr>
            <w:tcW w:w="1629" w:type="dxa"/>
            <w:vAlign w:val="center"/>
          </w:tcPr>
          <w:p w14:paraId="15CB1D50" w14:textId="77777777" w:rsidR="00813ADF" w:rsidRPr="00813ADF" w:rsidRDefault="00813ADF" w:rsidP="00CD6BC5">
            <w:pPr>
              <w:pStyle w:val="Default"/>
              <w:jc w:val="center"/>
              <w:rPr>
                <w:b/>
                <w:bCs/>
                <w:sz w:val="22"/>
                <w:szCs w:val="22"/>
              </w:rPr>
            </w:pPr>
            <w:r w:rsidRPr="00813ADF">
              <w:rPr>
                <w:b/>
                <w:bCs/>
                <w:sz w:val="22"/>
                <w:szCs w:val="22"/>
              </w:rPr>
              <w:t>Percentage</w:t>
            </w:r>
          </w:p>
          <w:p w14:paraId="2C30562A" w14:textId="77777777" w:rsidR="00813ADF" w:rsidRPr="00813ADF" w:rsidRDefault="00813ADF" w:rsidP="00CD6BC5">
            <w:pPr>
              <w:pStyle w:val="Default"/>
              <w:jc w:val="center"/>
              <w:rPr>
                <w:sz w:val="22"/>
                <w:szCs w:val="22"/>
              </w:rPr>
            </w:pPr>
            <w:r w:rsidRPr="00813ADF">
              <w:rPr>
                <w:b/>
                <w:bCs/>
                <w:sz w:val="22"/>
                <w:szCs w:val="22"/>
              </w:rPr>
              <w:t>Saved</w:t>
            </w:r>
          </w:p>
          <w:p w14:paraId="55664367" w14:textId="77777777" w:rsidR="00813ADF" w:rsidRPr="00813ADF" w:rsidRDefault="00813ADF" w:rsidP="00CD6BC5">
            <w:pPr>
              <w:autoSpaceDE w:val="0"/>
              <w:autoSpaceDN w:val="0"/>
              <w:adjustRightInd w:val="0"/>
              <w:spacing w:after="0" w:line="240" w:lineRule="auto"/>
              <w:jc w:val="center"/>
              <w:rPr>
                <w:rFonts w:ascii="Arial" w:hAnsi="Arial" w:cs="Arial"/>
                <w:color w:val="000000"/>
              </w:rPr>
            </w:pPr>
          </w:p>
        </w:tc>
      </w:tr>
      <w:tr w:rsidR="00813ADF" w:rsidRPr="00813ADF" w14:paraId="3BF75DD8" w14:textId="77777777" w:rsidTr="00CE585A">
        <w:trPr>
          <w:trHeight w:val="230"/>
        </w:trPr>
        <w:tc>
          <w:tcPr>
            <w:tcW w:w="2485" w:type="dxa"/>
          </w:tcPr>
          <w:p w14:paraId="30AFD8C1" w14:textId="77777777" w:rsidR="00CE585A" w:rsidRDefault="00813ADF" w:rsidP="00813ADF">
            <w:pPr>
              <w:pStyle w:val="Default"/>
              <w:rPr>
                <w:b/>
                <w:bCs/>
                <w:sz w:val="48"/>
                <w:szCs w:val="48"/>
              </w:rPr>
            </w:pPr>
            <w:r>
              <w:rPr>
                <w:b/>
                <w:bCs/>
                <w:sz w:val="48"/>
                <w:szCs w:val="48"/>
              </w:rPr>
              <w:t xml:space="preserve"> </w:t>
            </w:r>
          </w:p>
          <w:p w14:paraId="651B2D51" w14:textId="77777777" w:rsidR="00813ADF" w:rsidRPr="00813ADF" w:rsidRDefault="00813ADF" w:rsidP="00CE585A">
            <w:pPr>
              <w:pStyle w:val="Default"/>
              <w:jc w:val="center"/>
              <w:rPr>
                <w:sz w:val="48"/>
                <w:szCs w:val="48"/>
              </w:rPr>
            </w:pPr>
            <w:r w:rsidRPr="00813ADF">
              <w:rPr>
                <w:b/>
                <w:bCs/>
                <w:sz w:val="48"/>
                <w:szCs w:val="48"/>
              </w:rPr>
              <w:t>$27,600</w:t>
            </w:r>
          </w:p>
          <w:p w14:paraId="5EA66805" w14:textId="77777777" w:rsidR="00813ADF" w:rsidRPr="00813ADF" w:rsidRDefault="00813ADF" w:rsidP="00813ADF">
            <w:pPr>
              <w:autoSpaceDE w:val="0"/>
              <w:autoSpaceDN w:val="0"/>
              <w:adjustRightInd w:val="0"/>
              <w:spacing w:after="0" w:line="240" w:lineRule="auto"/>
              <w:rPr>
                <w:rFonts w:ascii="Arial" w:hAnsi="Arial" w:cs="Arial"/>
                <w:color w:val="000000"/>
                <w:sz w:val="52"/>
                <w:szCs w:val="52"/>
              </w:rPr>
            </w:pPr>
          </w:p>
        </w:tc>
        <w:tc>
          <w:tcPr>
            <w:tcW w:w="2942" w:type="dxa"/>
          </w:tcPr>
          <w:p w14:paraId="30F181BA" w14:textId="77777777" w:rsidR="00CE585A" w:rsidRDefault="00CE585A" w:rsidP="00CE585A">
            <w:pPr>
              <w:pStyle w:val="Default"/>
              <w:rPr>
                <w:sz w:val="22"/>
                <w:szCs w:val="22"/>
              </w:rPr>
            </w:pPr>
          </w:p>
          <w:p w14:paraId="3C0A845A" w14:textId="77777777" w:rsidR="00813ADF" w:rsidRPr="00813ADF" w:rsidRDefault="00813ADF" w:rsidP="00CE585A">
            <w:pPr>
              <w:pStyle w:val="Default"/>
              <w:rPr>
                <w:sz w:val="22"/>
                <w:szCs w:val="22"/>
              </w:rPr>
            </w:pPr>
            <w:r w:rsidRPr="00813ADF">
              <w:rPr>
                <w:sz w:val="22"/>
                <w:szCs w:val="22"/>
              </w:rPr>
              <w:t xml:space="preserve">$38,268 (prisons) </w:t>
            </w:r>
          </w:p>
          <w:p w14:paraId="7A844AFB" w14:textId="77777777" w:rsidR="00813ADF" w:rsidRPr="00813ADF" w:rsidRDefault="00813ADF" w:rsidP="00CE585A">
            <w:pPr>
              <w:pStyle w:val="Default"/>
              <w:rPr>
                <w:sz w:val="22"/>
                <w:szCs w:val="22"/>
              </w:rPr>
            </w:pPr>
            <w:r w:rsidRPr="00813ADF">
              <w:rPr>
                <w:sz w:val="22"/>
                <w:szCs w:val="22"/>
              </w:rPr>
              <w:t xml:space="preserve">$39,739 (IMDs) </w:t>
            </w:r>
          </w:p>
          <w:p w14:paraId="403D7AAA" w14:textId="77777777" w:rsidR="00813ADF" w:rsidRPr="00813ADF" w:rsidRDefault="00813ADF" w:rsidP="00CE585A">
            <w:pPr>
              <w:pStyle w:val="Default"/>
              <w:rPr>
                <w:sz w:val="22"/>
                <w:szCs w:val="22"/>
              </w:rPr>
            </w:pPr>
            <w:r w:rsidRPr="00813ADF">
              <w:rPr>
                <w:sz w:val="22"/>
                <w:szCs w:val="22"/>
              </w:rPr>
              <w:t xml:space="preserve">$52,083 (nursing homes) </w:t>
            </w:r>
          </w:p>
          <w:p w14:paraId="1197B2CA" w14:textId="77777777" w:rsidR="00813ADF" w:rsidRPr="00813ADF" w:rsidRDefault="00813ADF" w:rsidP="00CE585A">
            <w:pPr>
              <w:pStyle w:val="Default"/>
              <w:rPr>
                <w:sz w:val="22"/>
                <w:szCs w:val="22"/>
              </w:rPr>
            </w:pPr>
            <w:r w:rsidRPr="00813ADF">
              <w:rPr>
                <w:sz w:val="22"/>
                <w:szCs w:val="22"/>
              </w:rPr>
              <w:t xml:space="preserve">$52,195 (jails) </w:t>
            </w:r>
          </w:p>
          <w:p w14:paraId="03B2997F" w14:textId="77777777" w:rsidR="00813ADF" w:rsidRDefault="00813ADF" w:rsidP="00CE585A">
            <w:pPr>
              <w:pStyle w:val="Default"/>
              <w:rPr>
                <w:sz w:val="22"/>
                <w:szCs w:val="22"/>
              </w:rPr>
            </w:pPr>
            <w:r w:rsidRPr="00813ADF">
              <w:rPr>
                <w:sz w:val="22"/>
                <w:szCs w:val="22"/>
              </w:rPr>
              <w:t xml:space="preserve">$54,097 (ICF/DD) </w:t>
            </w:r>
          </w:p>
          <w:p w14:paraId="15152347" w14:textId="77777777" w:rsidR="00813ADF" w:rsidRPr="00813ADF" w:rsidRDefault="00813ADF" w:rsidP="00A63E17">
            <w:pPr>
              <w:pStyle w:val="Default"/>
            </w:pPr>
          </w:p>
        </w:tc>
        <w:tc>
          <w:tcPr>
            <w:tcW w:w="2884" w:type="dxa"/>
          </w:tcPr>
          <w:p w14:paraId="66F7208D" w14:textId="77777777" w:rsidR="00CE585A" w:rsidRDefault="00CE585A" w:rsidP="00CE585A">
            <w:pPr>
              <w:pStyle w:val="Default"/>
              <w:jc w:val="center"/>
              <w:rPr>
                <w:sz w:val="22"/>
                <w:szCs w:val="22"/>
              </w:rPr>
            </w:pPr>
          </w:p>
          <w:p w14:paraId="31A89F2F" w14:textId="77777777" w:rsidR="00813ADF" w:rsidRPr="00813ADF" w:rsidRDefault="00813ADF" w:rsidP="00CE585A">
            <w:pPr>
              <w:pStyle w:val="Default"/>
              <w:jc w:val="center"/>
              <w:rPr>
                <w:sz w:val="22"/>
                <w:szCs w:val="22"/>
              </w:rPr>
            </w:pPr>
            <w:r w:rsidRPr="00813ADF">
              <w:rPr>
                <w:sz w:val="22"/>
                <w:szCs w:val="22"/>
              </w:rPr>
              <w:t>$10,668</w:t>
            </w:r>
          </w:p>
          <w:p w14:paraId="2CEF9F5F" w14:textId="77777777" w:rsidR="00813ADF" w:rsidRPr="00813ADF" w:rsidRDefault="00813ADF" w:rsidP="00CE585A">
            <w:pPr>
              <w:pStyle w:val="Default"/>
              <w:jc w:val="center"/>
              <w:rPr>
                <w:sz w:val="22"/>
                <w:szCs w:val="22"/>
              </w:rPr>
            </w:pPr>
            <w:r w:rsidRPr="00813ADF">
              <w:rPr>
                <w:sz w:val="22"/>
                <w:szCs w:val="22"/>
              </w:rPr>
              <w:t>$12,139</w:t>
            </w:r>
          </w:p>
          <w:p w14:paraId="7FC1DC6B" w14:textId="77777777" w:rsidR="00813ADF" w:rsidRPr="00813ADF" w:rsidRDefault="00813ADF" w:rsidP="00CE585A">
            <w:pPr>
              <w:pStyle w:val="Default"/>
              <w:jc w:val="center"/>
              <w:rPr>
                <w:sz w:val="22"/>
                <w:szCs w:val="22"/>
              </w:rPr>
            </w:pPr>
            <w:r w:rsidRPr="00813ADF">
              <w:rPr>
                <w:sz w:val="22"/>
                <w:szCs w:val="22"/>
              </w:rPr>
              <w:t>$24,483</w:t>
            </w:r>
          </w:p>
          <w:p w14:paraId="4B31FE10" w14:textId="77777777" w:rsidR="00813ADF" w:rsidRPr="00813ADF" w:rsidRDefault="00813ADF" w:rsidP="00CE585A">
            <w:pPr>
              <w:pStyle w:val="Default"/>
              <w:jc w:val="center"/>
              <w:rPr>
                <w:sz w:val="22"/>
                <w:szCs w:val="22"/>
              </w:rPr>
            </w:pPr>
            <w:r w:rsidRPr="00813ADF">
              <w:rPr>
                <w:sz w:val="22"/>
                <w:szCs w:val="22"/>
              </w:rPr>
              <w:t>$24,595</w:t>
            </w:r>
          </w:p>
          <w:p w14:paraId="57EC9C21" w14:textId="77777777" w:rsidR="00813ADF" w:rsidRPr="00813ADF" w:rsidRDefault="00813ADF" w:rsidP="00CE585A">
            <w:pPr>
              <w:pStyle w:val="Default"/>
              <w:jc w:val="center"/>
              <w:rPr>
                <w:sz w:val="22"/>
                <w:szCs w:val="22"/>
              </w:rPr>
            </w:pPr>
            <w:r w:rsidRPr="00813ADF">
              <w:rPr>
                <w:sz w:val="22"/>
                <w:szCs w:val="22"/>
              </w:rPr>
              <w:t>$26,497</w:t>
            </w:r>
          </w:p>
          <w:p w14:paraId="2B2E828B" w14:textId="77777777" w:rsidR="00813ADF" w:rsidRPr="00813ADF" w:rsidRDefault="00813ADF" w:rsidP="00813ADF">
            <w:pPr>
              <w:autoSpaceDE w:val="0"/>
              <w:autoSpaceDN w:val="0"/>
              <w:adjustRightInd w:val="0"/>
              <w:spacing w:after="0" w:line="240" w:lineRule="auto"/>
              <w:rPr>
                <w:rFonts w:ascii="Arial" w:hAnsi="Arial" w:cs="Arial"/>
                <w:color w:val="000000"/>
              </w:rPr>
            </w:pPr>
          </w:p>
        </w:tc>
        <w:tc>
          <w:tcPr>
            <w:tcW w:w="1629" w:type="dxa"/>
          </w:tcPr>
          <w:p w14:paraId="3252DF32" w14:textId="77777777" w:rsidR="00CE585A" w:rsidRDefault="00CE585A" w:rsidP="00CE585A">
            <w:pPr>
              <w:pStyle w:val="Default"/>
              <w:jc w:val="center"/>
              <w:rPr>
                <w:sz w:val="22"/>
                <w:szCs w:val="22"/>
              </w:rPr>
            </w:pPr>
          </w:p>
          <w:p w14:paraId="30494CB1" w14:textId="77777777" w:rsidR="00813ADF" w:rsidRPr="00813ADF" w:rsidRDefault="00813ADF" w:rsidP="00CE585A">
            <w:pPr>
              <w:pStyle w:val="Default"/>
              <w:jc w:val="center"/>
              <w:rPr>
                <w:sz w:val="22"/>
                <w:szCs w:val="22"/>
              </w:rPr>
            </w:pPr>
            <w:r w:rsidRPr="00813ADF">
              <w:rPr>
                <w:sz w:val="22"/>
                <w:szCs w:val="22"/>
              </w:rPr>
              <w:t>27%</w:t>
            </w:r>
          </w:p>
          <w:p w14:paraId="070FFFBD" w14:textId="77777777" w:rsidR="00813ADF" w:rsidRPr="00813ADF" w:rsidRDefault="00813ADF" w:rsidP="00CE585A">
            <w:pPr>
              <w:pStyle w:val="Default"/>
              <w:jc w:val="center"/>
              <w:rPr>
                <w:sz w:val="22"/>
                <w:szCs w:val="22"/>
              </w:rPr>
            </w:pPr>
            <w:r w:rsidRPr="00813ADF">
              <w:rPr>
                <w:sz w:val="22"/>
                <w:szCs w:val="22"/>
              </w:rPr>
              <w:t>31%</w:t>
            </w:r>
          </w:p>
          <w:p w14:paraId="0BD2BC8C" w14:textId="77777777" w:rsidR="00813ADF" w:rsidRPr="00813ADF" w:rsidRDefault="00813ADF" w:rsidP="00CE585A">
            <w:pPr>
              <w:pStyle w:val="Default"/>
              <w:jc w:val="center"/>
              <w:rPr>
                <w:sz w:val="22"/>
                <w:szCs w:val="22"/>
              </w:rPr>
            </w:pPr>
            <w:r w:rsidRPr="00813ADF">
              <w:rPr>
                <w:sz w:val="22"/>
                <w:szCs w:val="22"/>
              </w:rPr>
              <w:t>47%</w:t>
            </w:r>
          </w:p>
          <w:p w14:paraId="2E97F3E5" w14:textId="77777777" w:rsidR="00813ADF" w:rsidRPr="00813ADF" w:rsidRDefault="00813ADF" w:rsidP="00CE585A">
            <w:pPr>
              <w:pStyle w:val="Default"/>
              <w:jc w:val="center"/>
              <w:rPr>
                <w:sz w:val="22"/>
                <w:szCs w:val="22"/>
              </w:rPr>
            </w:pPr>
            <w:r w:rsidRPr="00813ADF">
              <w:rPr>
                <w:sz w:val="22"/>
                <w:szCs w:val="22"/>
              </w:rPr>
              <w:t>47%</w:t>
            </w:r>
          </w:p>
          <w:p w14:paraId="1674520A" w14:textId="77777777" w:rsidR="00813ADF" w:rsidRPr="00813ADF" w:rsidRDefault="00813ADF" w:rsidP="00CE585A">
            <w:pPr>
              <w:pStyle w:val="Default"/>
              <w:jc w:val="center"/>
              <w:rPr>
                <w:sz w:val="22"/>
                <w:szCs w:val="22"/>
              </w:rPr>
            </w:pPr>
            <w:r w:rsidRPr="00813ADF">
              <w:rPr>
                <w:sz w:val="22"/>
                <w:szCs w:val="22"/>
              </w:rPr>
              <w:t>49%</w:t>
            </w:r>
          </w:p>
          <w:p w14:paraId="077C05CE" w14:textId="77777777" w:rsidR="00813ADF" w:rsidRPr="00813ADF" w:rsidRDefault="00813ADF" w:rsidP="00813ADF">
            <w:pPr>
              <w:autoSpaceDE w:val="0"/>
              <w:autoSpaceDN w:val="0"/>
              <w:adjustRightInd w:val="0"/>
              <w:spacing w:after="0" w:line="240" w:lineRule="auto"/>
              <w:rPr>
                <w:rFonts w:ascii="Arial" w:hAnsi="Arial" w:cs="Arial"/>
                <w:color w:val="000000"/>
              </w:rPr>
            </w:pPr>
          </w:p>
        </w:tc>
      </w:tr>
    </w:tbl>
    <w:p w14:paraId="1BD7EF2D" w14:textId="77777777" w:rsidR="00CE585A" w:rsidRDefault="00CE585A" w:rsidP="00813ADF">
      <w:pPr>
        <w:pStyle w:val="Default"/>
        <w:rPr>
          <w:sz w:val="22"/>
          <w:szCs w:val="22"/>
        </w:rPr>
      </w:pPr>
    </w:p>
    <w:p w14:paraId="45FF64AB" w14:textId="77777777" w:rsidR="00813ADF" w:rsidRPr="00385FB1" w:rsidRDefault="00813ADF" w:rsidP="00813ADF">
      <w:pPr>
        <w:pStyle w:val="Default"/>
        <w:rPr>
          <w:sz w:val="22"/>
          <w:szCs w:val="22"/>
        </w:rPr>
      </w:pPr>
      <w:r w:rsidRPr="00385FB1">
        <w:rPr>
          <w:sz w:val="22"/>
          <w:szCs w:val="22"/>
        </w:rPr>
        <w:t xml:space="preserve">The cost of developing and operating PSH is based on three cost categories: </w:t>
      </w:r>
    </w:p>
    <w:p w14:paraId="71C5CD5C" w14:textId="77777777" w:rsidR="00E3775F" w:rsidRPr="00385FB1" w:rsidRDefault="00E3775F" w:rsidP="00813ADF">
      <w:pPr>
        <w:pStyle w:val="Default"/>
        <w:rPr>
          <w:sz w:val="22"/>
          <w:szCs w:val="22"/>
        </w:rPr>
      </w:pPr>
    </w:p>
    <w:p w14:paraId="4C642913" w14:textId="77777777" w:rsidR="00813ADF" w:rsidRPr="00385FB1" w:rsidRDefault="00813ADF" w:rsidP="00813ADF">
      <w:pPr>
        <w:pStyle w:val="Default"/>
        <w:spacing w:after="252"/>
        <w:rPr>
          <w:sz w:val="22"/>
          <w:szCs w:val="22"/>
        </w:rPr>
      </w:pPr>
      <w:r w:rsidRPr="00385FB1">
        <w:rPr>
          <w:sz w:val="22"/>
          <w:szCs w:val="22"/>
        </w:rPr>
        <w:t xml:space="preserve">1) Development costs; </w:t>
      </w:r>
      <w:r w:rsidR="00E3775F" w:rsidRPr="00385FB1">
        <w:rPr>
          <w:sz w:val="22"/>
          <w:szCs w:val="22"/>
        </w:rPr>
        <w:t>usually funded by public/private</w:t>
      </w:r>
      <w:r w:rsidR="00E66D6F" w:rsidRPr="00385FB1">
        <w:rPr>
          <w:sz w:val="22"/>
          <w:szCs w:val="22"/>
        </w:rPr>
        <w:t xml:space="preserve"> partnership</w:t>
      </w:r>
      <w:r w:rsidR="00E3775F" w:rsidRPr="00385FB1">
        <w:rPr>
          <w:sz w:val="22"/>
          <w:szCs w:val="22"/>
        </w:rPr>
        <w:t xml:space="preserve"> use of federal Tax credits</w:t>
      </w:r>
    </w:p>
    <w:p w14:paraId="3988920C" w14:textId="77777777" w:rsidR="00813ADF" w:rsidRPr="00385FB1" w:rsidRDefault="00813ADF" w:rsidP="00813ADF">
      <w:pPr>
        <w:pStyle w:val="Default"/>
        <w:spacing w:after="252"/>
        <w:rPr>
          <w:sz w:val="22"/>
          <w:szCs w:val="22"/>
        </w:rPr>
      </w:pPr>
      <w:r w:rsidRPr="00385FB1">
        <w:rPr>
          <w:sz w:val="22"/>
          <w:szCs w:val="22"/>
        </w:rPr>
        <w:t>2) Annual operating costs (</w:t>
      </w:r>
      <w:r w:rsidR="00E3775F" w:rsidRPr="00385FB1">
        <w:rPr>
          <w:sz w:val="22"/>
          <w:szCs w:val="22"/>
        </w:rPr>
        <w:t>building operations</w:t>
      </w:r>
      <w:r w:rsidRPr="00385FB1">
        <w:rPr>
          <w:sz w:val="22"/>
          <w:szCs w:val="22"/>
        </w:rPr>
        <w:t>)</w:t>
      </w:r>
      <w:r w:rsidR="00E3775F" w:rsidRPr="00385FB1">
        <w:rPr>
          <w:sz w:val="22"/>
          <w:szCs w:val="22"/>
        </w:rPr>
        <w:t xml:space="preserve"> usually funded by rents/rental assistance vouchers </w:t>
      </w:r>
    </w:p>
    <w:p w14:paraId="4757AF86" w14:textId="77777777" w:rsidR="00813ADF" w:rsidRPr="00385FB1" w:rsidRDefault="00813ADF" w:rsidP="00813ADF">
      <w:pPr>
        <w:pStyle w:val="Default"/>
        <w:rPr>
          <w:sz w:val="22"/>
          <w:szCs w:val="22"/>
        </w:rPr>
      </w:pPr>
      <w:r w:rsidRPr="00385FB1">
        <w:rPr>
          <w:sz w:val="22"/>
          <w:szCs w:val="22"/>
        </w:rPr>
        <w:t xml:space="preserve">3) Supportive service costs for the residents. </w:t>
      </w:r>
      <w:r w:rsidR="00E3775F" w:rsidRPr="00385FB1">
        <w:rPr>
          <w:sz w:val="22"/>
          <w:szCs w:val="22"/>
        </w:rPr>
        <w:t>In IL partially funded by Department of Human Servic</w:t>
      </w:r>
      <w:r w:rsidR="00E66D6F" w:rsidRPr="00385FB1">
        <w:rPr>
          <w:sz w:val="22"/>
          <w:szCs w:val="22"/>
        </w:rPr>
        <w:t xml:space="preserve">es line items in both </w:t>
      </w:r>
      <w:r w:rsidR="008107E7" w:rsidRPr="00385FB1">
        <w:rPr>
          <w:sz w:val="22"/>
          <w:szCs w:val="22"/>
        </w:rPr>
        <w:t>Bureau</w:t>
      </w:r>
      <w:r w:rsidR="00E66D6F" w:rsidRPr="00385FB1">
        <w:rPr>
          <w:sz w:val="22"/>
          <w:szCs w:val="22"/>
        </w:rPr>
        <w:t xml:space="preserve"> of Homeless S</w:t>
      </w:r>
      <w:r w:rsidR="00E3775F" w:rsidRPr="00385FB1">
        <w:rPr>
          <w:sz w:val="22"/>
          <w:szCs w:val="22"/>
        </w:rPr>
        <w:t>ervices and Department of Mental Health</w:t>
      </w:r>
    </w:p>
    <w:p w14:paraId="09F5875E" w14:textId="77777777" w:rsidR="00813ADF" w:rsidRPr="00385FB1" w:rsidRDefault="00813ADF" w:rsidP="00813ADF">
      <w:pPr>
        <w:pStyle w:val="Default"/>
        <w:rPr>
          <w:sz w:val="22"/>
          <w:szCs w:val="22"/>
        </w:rPr>
      </w:pPr>
    </w:p>
    <w:p w14:paraId="2B56D2E7" w14:textId="7D98EB17" w:rsidR="00980C65" w:rsidRPr="00385FB1" w:rsidRDefault="00813ADF" w:rsidP="00813ADF">
      <w:pPr>
        <w:rPr>
          <w:rFonts w:ascii="Arial" w:hAnsi="Arial" w:cs="Arial"/>
        </w:rPr>
      </w:pPr>
      <w:r w:rsidRPr="00385FB1">
        <w:rPr>
          <w:rFonts w:ascii="Arial" w:hAnsi="Arial" w:cs="Arial"/>
        </w:rPr>
        <w:t>Supportive housing differs from traditional affordable housing because of the addition of supportive services</w:t>
      </w:r>
      <w:r w:rsidR="00E3775F" w:rsidRPr="00385FB1">
        <w:rPr>
          <w:rFonts w:ascii="Arial" w:hAnsi="Arial" w:cs="Arial"/>
        </w:rPr>
        <w:t xml:space="preserve"> focused on housing stability</w:t>
      </w:r>
      <w:r w:rsidRPr="00385FB1">
        <w:rPr>
          <w:rFonts w:ascii="Arial" w:hAnsi="Arial" w:cs="Arial"/>
        </w:rPr>
        <w:t xml:space="preserve">, which require dedicated, sustainable funding sources. New developments require service funding commitments </w:t>
      </w:r>
      <w:r w:rsidR="00E3775F" w:rsidRPr="00385FB1">
        <w:rPr>
          <w:rFonts w:ascii="Arial" w:hAnsi="Arial" w:cs="Arial"/>
        </w:rPr>
        <w:t xml:space="preserve">early </w:t>
      </w:r>
      <w:r w:rsidRPr="00385FB1">
        <w:rPr>
          <w:rFonts w:ascii="Arial" w:hAnsi="Arial" w:cs="Arial"/>
        </w:rPr>
        <w:t>during project financing</w:t>
      </w:r>
      <w:r w:rsidR="00A23544" w:rsidRPr="00385FB1">
        <w:rPr>
          <w:rFonts w:ascii="Arial" w:hAnsi="Arial" w:cs="Arial"/>
        </w:rPr>
        <w:t xml:space="preserve"> or before units are filled with tenants</w:t>
      </w:r>
      <w:r w:rsidR="00E3775F" w:rsidRPr="00385FB1">
        <w:rPr>
          <w:rFonts w:ascii="Arial" w:hAnsi="Arial" w:cs="Arial"/>
        </w:rPr>
        <w:t xml:space="preserve"> to demonstrate project </w:t>
      </w:r>
      <w:r w:rsidR="00E66D6F" w:rsidRPr="00385FB1">
        <w:rPr>
          <w:rFonts w:ascii="Arial" w:hAnsi="Arial" w:cs="Arial"/>
        </w:rPr>
        <w:t>viability to funders</w:t>
      </w:r>
      <w:r w:rsidR="00A63E17" w:rsidRPr="00385FB1">
        <w:rPr>
          <w:rFonts w:ascii="Arial" w:hAnsi="Arial" w:cs="Arial"/>
        </w:rPr>
        <w:t>.</w:t>
      </w:r>
      <w:r w:rsidRPr="00385FB1">
        <w:rPr>
          <w:rFonts w:ascii="Arial" w:hAnsi="Arial" w:cs="Arial"/>
        </w:rPr>
        <w:t xml:space="preserve"> In the case of leasing partnerships with no new capital development, services are needed to access the rental assistance resources and to stay stably housed.</w:t>
      </w:r>
    </w:p>
    <w:p w14:paraId="3CE5B2C6" w14:textId="77777777" w:rsidR="00813ADF" w:rsidRPr="00385FB1" w:rsidRDefault="00813ADF" w:rsidP="00813ADF">
      <w:pPr>
        <w:pStyle w:val="Default"/>
        <w:rPr>
          <w:b/>
          <w:sz w:val="22"/>
          <w:szCs w:val="22"/>
        </w:rPr>
      </w:pPr>
      <w:r w:rsidRPr="00385FB1">
        <w:rPr>
          <w:b/>
          <w:i/>
          <w:iCs/>
          <w:sz w:val="22"/>
          <w:szCs w:val="22"/>
        </w:rPr>
        <w:t xml:space="preserve">Service Costs </w:t>
      </w:r>
    </w:p>
    <w:p w14:paraId="53081B03" w14:textId="209D2678" w:rsidR="00813ADF" w:rsidRDefault="00813ADF" w:rsidP="00813ADF">
      <w:pPr>
        <w:rPr>
          <w:rFonts w:ascii="Arial" w:hAnsi="Arial" w:cs="Arial"/>
          <w:sz w:val="24"/>
          <w:szCs w:val="24"/>
        </w:rPr>
      </w:pPr>
      <w:r w:rsidRPr="00385FB1">
        <w:rPr>
          <w:rFonts w:ascii="Arial" w:hAnsi="Arial" w:cs="Arial"/>
        </w:rPr>
        <w:t>The costs of supportive services will vary based on the type of household</w:t>
      </w:r>
      <w:r w:rsidR="00E3775F" w:rsidRPr="00385FB1">
        <w:rPr>
          <w:rFonts w:ascii="Arial" w:hAnsi="Arial" w:cs="Arial"/>
        </w:rPr>
        <w:t xml:space="preserve"> (level of need)</w:t>
      </w:r>
      <w:r w:rsidRPr="00385FB1">
        <w:rPr>
          <w:rFonts w:ascii="Arial" w:hAnsi="Arial" w:cs="Arial"/>
        </w:rPr>
        <w:t xml:space="preserve">, </w:t>
      </w:r>
      <w:r w:rsidR="00E3775F" w:rsidRPr="00385FB1">
        <w:rPr>
          <w:rFonts w:ascii="Arial" w:hAnsi="Arial" w:cs="Arial"/>
        </w:rPr>
        <w:t xml:space="preserve">clinical certification requirements, </w:t>
      </w:r>
      <w:r w:rsidRPr="00385FB1">
        <w:rPr>
          <w:rFonts w:ascii="Arial" w:hAnsi="Arial" w:cs="Arial"/>
        </w:rPr>
        <w:t xml:space="preserve">staff caseload, and funding source. For example, some Illinois service funding is based on Medicaid billing that involves rate standards for the type of staff delivering a service, and rates may or may not cover the actual cost for services. Other Illinois service funding can be grant-based </w:t>
      </w:r>
      <w:proofErr w:type="gramStart"/>
      <w:r w:rsidRPr="00385FB1">
        <w:rPr>
          <w:rFonts w:ascii="Arial" w:hAnsi="Arial" w:cs="Arial"/>
        </w:rPr>
        <w:t>and also</w:t>
      </w:r>
      <w:proofErr w:type="gramEnd"/>
      <w:r w:rsidRPr="00385FB1">
        <w:rPr>
          <w:rFonts w:ascii="Arial" w:hAnsi="Arial" w:cs="Arial"/>
        </w:rPr>
        <w:t xml:space="preserve"> may not fully cover the cost of the services. There are various levels of cost for different ways of delivering supportive housing services</w:t>
      </w:r>
      <w:r w:rsidRPr="00B973FF">
        <w:rPr>
          <w:rFonts w:ascii="Arial" w:hAnsi="Arial" w:cs="Arial"/>
          <w:sz w:val="24"/>
          <w:szCs w:val="24"/>
        </w:rPr>
        <w:t>.</w:t>
      </w:r>
    </w:p>
    <w:p w14:paraId="47D98A55" w14:textId="77777777" w:rsidR="00385FB1" w:rsidRPr="00B973FF" w:rsidRDefault="00385FB1" w:rsidP="00813ADF">
      <w:pPr>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218"/>
        <w:gridCol w:w="2136"/>
      </w:tblGrid>
      <w:tr w:rsidR="00813ADF" w:rsidRPr="00813ADF" w14:paraId="64744A48" w14:textId="77777777" w:rsidTr="00CE585A">
        <w:trPr>
          <w:trHeight w:val="103"/>
        </w:trPr>
        <w:tc>
          <w:tcPr>
            <w:tcW w:w="7218" w:type="dxa"/>
          </w:tcPr>
          <w:p w14:paraId="79012E0F" w14:textId="77777777" w:rsidR="00813ADF" w:rsidRPr="00813ADF" w:rsidRDefault="00813ADF" w:rsidP="00B973FF">
            <w:pPr>
              <w:autoSpaceDE w:val="0"/>
              <w:autoSpaceDN w:val="0"/>
              <w:adjustRightInd w:val="0"/>
              <w:spacing w:after="0" w:line="240" w:lineRule="auto"/>
              <w:jc w:val="center"/>
              <w:rPr>
                <w:rFonts w:ascii="Arial" w:hAnsi="Arial" w:cs="Arial"/>
                <w:color w:val="000000"/>
                <w:sz w:val="24"/>
                <w:szCs w:val="24"/>
              </w:rPr>
            </w:pPr>
            <w:r w:rsidRPr="00813ADF">
              <w:rPr>
                <w:rFonts w:ascii="Arial" w:hAnsi="Arial" w:cs="Arial"/>
                <w:b/>
                <w:bCs/>
                <w:color w:val="000000"/>
                <w:sz w:val="24"/>
                <w:szCs w:val="24"/>
              </w:rPr>
              <w:t>Service Costs</w:t>
            </w:r>
          </w:p>
        </w:tc>
        <w:tc>
          <w:tcPr>
            <w:tcW w:w="2136" w:type="dxa"/>
          </w:tcPr>
          <w:p w14:paraId="3D50EBD6" w14:textId="77777777" w:rsidR="00813ADF" w:rsidRPr="00813ADF" w:rsidRDefault="00813ADF" w:rsidP="00B973FF">
            <w:pPr>
              <w:autoSpaceDE w:val="0"/>
              <w:autoSpaceDN w:val="0"/>
              <w:adjustRightInd w:val="0"/>
              <w:spacing w:after="0" w:line="240" w:lineRule="auto"/>
              <w:jc w:val="center"/>
              <w:rPr>
                <w:rFonts w:ascii="Arial" w:hAnsi="Arial" w:cs="Arial"/>
                <w:color w:val="000000"/>
                <w:sz w:val="24"/>
                <w:szCs w:val="24"/>
              </w:rPr>
            </w:pPr>
            <w:r w:rsidRPr="00813ADF">
              <w:rPr>
                <w:rFonts w:ascii="Arial" w:hAnsi="Arial" w:cs="Arial"/>
                <w:b/>
                <w:bCs/>
                <w:color w:val="000000"/>
                <w:sz w:val="24"/>
                <w:szCs w:val="24"/>
              </w:rPr>
              <w:t>Cost per Person</w:t>
            </w:r>
          </w:p>
        </w:tc>
      </w:tr>
      <w:tr w:rsidR="00813ADF" w:rsidRPr="00813ADF" w14:paraId="15937E83" w14:textId="77777777" w:rsidTr="00CE585A">
        <w:trPr>
          <w:trHeight w:val="103"/>
        </w:trPr>
        <w:tc>
          <w:tcPr>
            <w:tcW w:w="7218" w:type="dxa"/>
          </w:tcPr>
          <w:p w14:paraId="5C528851" w14:textId="77777777" w:rsidR="00813ADF" w:rsidRPr="00B973FF" w:rsidRDefault="00813ADF" w:rsidP="00CE585A">
            <w:pPr>
              <w:pStyle w:val="Default"/>
              <w:jc w:val="right"/>
            </w:pPr>
            <w:r w:rsidRPr="00B973FF">
              <w:t xml:space="preserve">Case management with low-need </w:t>
            </w:r>
            <w:r w:rsidR="00B973FF" w:rsidRPr="00B973FF">
              <w:t>a</w:t>
            </w:r>
            <w:r w:rsidRPr="00B973FF">
              <w:t xml:space="preserve">nd </w:t>
            </w:r>
            <w:r w:rsidR="00B973FF">
              <w:t>h</w:t>
            </w:r>
            <w:r w:rsidRPr="00B973FF">
              <w:t>igh-</w:t>
            </w:r>
            <w:r w:rsidR="00B973FF">
              <w:t>c</w:t>
            </w:r>
            <w:r w:rsidRPr="00B973FF">
              <w:t xml:space="preserve">ase load </w:t>
            </w:r>
          </w:p>
          <w:p w14:paraId="6544754C" w14:textId="77777777" w:rsidR="00813ADF" w:rsidRPr="00B973FF" w:rsidRDefault="00813ADF" w:rsidP="00CE585A">
            <w:pPr>
              <w:pStyle w:val="Default"/>
              <w:jc w:val="right"/>
            </w:pPr>
            <w:r w:rsidRPr="00B973FF">
              <w:t xml:space="preserve">Intensive case management with high-need and low-case load </w:t>
            </w:r>
          </w:p>
          <w:p w14:paraId="0E54D7B4" w14:textId="77777777" w:rsidR="00B973FF" w:rsidRPr="00B973FF" w:rsidRDefault="00B973FF" w:rsidP="00CE585A">
            <w:pPr>
              <w:pStyle w:val="Default"/>
              <w:jc w:val="right"/>
            </w:pPr>
            <w:r w:rsidRPr="00B973FF">
              <w:t xml:space="preserve">Case management with clinical services for high-need and low-case load </w:t>
            </w:r>
          </w:p>
          <w:p w14:paraId="67E3C7DD" w14:textId="77777777" w:rsidR="00B973FF" w:rsidRPr="00B973FF" w:rsidRDefault="00B973FF" w:rsidP="00CE585A">
            <w:pPr>
              <w:pStyle w:val="Default"/>
              <w:jc w:val="right"/>
            </w:pPr>
            <w:r w:rsidRPr="00B973FF">
              <w:t xml:space="preserve">Clinical social services for high-need and low-case load </w:t>
            </w:r>
          </w:p>
          <w:p w14:paraId="28776152" w14:textId="77777777" w:rsidR="00813ADF" w:rsidRPr="00813ADF" w:rsidRDefault="00813ADF" w:rsidP="00813ADF">
            <w:pPr>
              <w:autoSpaceDE w:val="0"/>
              <w:autoSpaceDN w:val="0"/>
              <w:adjustRightInd w:val="0"/>
              <w:spacing w:after="0" w:line="240" w:lineRule="auto"/>
              <w:rPr>
                <w:rFonts w:ascii="Arial" w:hAnsi="Arial" w:cs="Arial"/>
                <w:color w:val="000000"/>
                <w:sz w:val="24"/>
                <w:szCs w:val="24"/>
              </w:rPr>
            </w:pPr>
          </w:p>
        </w:tc>
        <w:tc>
          <w:tcPr>
            <w:tcW w:w="2136" w:type="dxa"/>
          </w:tcPr>
          <w:p w14:paraId="06DD602F" w14:textId="77777777" w:rsidR="00813ADF" w:rsidRPr="00B973FF" w:rsidRDefault="00813ADF" w:rsidP="00813ADF">
            <w:pPr>
              <w:autoSpaceDE w:val="0"/>
              <w:autoSpaceDN w:val="0"/>
              <w:adjustRightInd w:val="0"/>
              <w:spacing w:after="0" w:line="240" w:lineRule="auto"/>
              <w:rPr>
                <w:rFonts w:ascii="Arial" w:hAnsi="Arial" w:cs="Arial"/>
                <w:sz w:val="24"/>
                <w:szCs w:val="24"/>
              </w:rPr>
            </w:pPr>
            <w:r w:rsidRPr="00B973FF">
              <w:rPr>
                <w:rFonts w:ascii="Arial" w:hAnsi="Arial" w:cs="Arial"/>
                <w:color w:val="000000"/>
                <w:sz w:val="24"/>
                <w:szCs w:val="24"/>
              </w:rPr>
              <w:t xml:space="preserve">       </w:t>
            </w:r>
            <w:r w:rsidR="00CE585A">
              <w:rPr>
                <w:rFonts w:ascii="Arial" w:hAnsi="Arial" w:cs="Arial"/>
                <w:color w:val="000000"/>
                <w:sz w:val="24"/>
                <w:szCs w:val="24"/>
              </w:rPr>
              <w:t xml:space="preserve">  </w:t>
            </w:r>
            <w:r w:rsidRPr="00B973FF">
              <w:rPr>
                <w:rFonts w:ascii="Arial" w:hAnsi="Arial" w:cs="Arial"/>
                <w:color w:val="000000"/>
                <w:sz w:val="24"/>
                <w:szCs w:val="24"/>
              </w:rPr>
              <w:t xml:space="preserve"> </w:t>
            </w:r>
            <w:r w:rsidRPr="00B973FF">
              <w:rPr>
                <w:rFonts w:ascii="Arial" w:hAnsi="Arial" w:cs="Arial"/>
                <w:sz w:val="24"/>
                <w:szCs w:val="24"/>
              </w:rPr>
              <w:t xml:space="preserve">$2,500 </w:t>
            </w:r>
          </w:p>
          <w:p w14:paraId="75BF92EF" w14:textId="77777777" w:rsidR="00813ADF" w:rsidRDefault="00813ADF" w:rsidP="00B973FF">
            <w:pPr>
              <w:autoSpaceDE w:val="0"/>
              <w:autoSpaceDN w:val="0"/>
              <w:adjustRightInd w:val="0"/>
              <w:spacing w:after="0" w:line="240" w:lineRule="auto"/>
              <w:rPr>
                <w:rFonts w:ascii="Arial" w:hAnsi="Arial" w:cs="Arial"/>
                <w:sz w:val="24"/>
                <w:szCs w:val="24"/>
              </w:rPr>
            </w:pPr>
            <w:r w:rsidRPr="00B973FF">
              <w:rPr>
                <w:rFonts w:ascii="Arial" w:hAnsi="Arial" w:cs="Arial"/>
                <w:color w:val="000000"/>
                <w:sz w:val="24"/>
                <w:szCs w:val="24"/>
              </w:rPr>
              <w:t xml:space="preserve">     </w:t>
            </w:r>
            <w:r w:rsidR="00B973FF">
              <w:rPr>
                <w:rFonts w:ascii="Arial" w:hAnsi="Arial" w:cs="Arial"/>
                <w:color w:val="000000"/>
                <w:sz w:val="24"/>
                <w:szCs w:val="24"/>
              </w:rPr>
              <w:t xml:space="preserve"> </w:t>
            </w:r>
            <w:r w:rsidR="00CE585A">
              <w:rPr>
                <w:rFonts w:ascii="Arial" w:hAnsi="Arial" w:cs="Arial"/>
                <w:color w:val="000000"/>
                <w:sz w:val="24"/>
                <w:szCs w:val="24"/>
              </w:rPr>
              <w:t xml:space="preserve">  </w:t>
            </w:r>
            <w:r w:rsidR="00B973FF" w:rsidRPr="00B973FF">
              <w:rPr>
                <w:rFonts w:ascii="Arial" w:hAnsi="Arial" w:cs="Arial"/>
                <w:sz w:val="24"/>
                <w:szCs w:val="24"/>
              </w:rPr>
              <w:t xml:space="preserve">  </w:t>
            </w:r>
            <w:r w:rsidRPr="00B973FF">
              <w:rPr>
                <w:rFonts w:ascii="Arial" w:hAnsi="Arial" w:cs="Arial"/>
                <w:sz w:val="24"/>
                <w:szCs w:val="24"/>
              </w:rPr>
              <w:t xml:space="preserve">$4,500 </w:t>
            </w:r>
          </w:p>
          <w:p w14:paraId="5174CCF0" w14:textId="77777777" w:rsidR="00CE585A" w:rsidRDefault="00CE585A" w:rsidP="00813AD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08E7059B" w14:textId="77777777" w:rsidR="00813ADF" w:rsidRDefault="00CE585A" w:rsidP="00813AD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$3,500</w:t>
            </w:r>
          </w:p>
          <w:p w14:paraId="21CECCCC" w14:textId="77777777" w:rsidR="00CE585A" w:rsidRPr="00813ADF" w:rsidRDefault="00CE585A" w:rsidP="00813AD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$7,000</w:t>
            </w:r>
          </w:p>
        </w:tc>
      </w:tr>
    </w:tbl>
    <w:p w14:paraId="3A0B40A8" w14:textId="77777777" w:rsidR="00385FB1" w:rsidRDefault="00385FB1" w:rsidP="00CD6BC5">
      <w:pPr>
        <w:autoSpaceDE w:val="0"/>
        <w:autoSpaceDN w:val="0"/>
        <w:adjustRightInd w:val="0"/>
        <w:spacing w:after="0" w:line="240" w:lineRule="auto"/>
        <w:rPr>
          <w:rFonts w:ascii="Century Gothic" w:hAnsi="Century Gothic" w:cs="Century Gothic"/>
          <w:b/>
          <w:bCs/>
          <w:i/>
          <w:iCs/>
          <w:color w:val="000000"/>
          <w:sz w:val="32"/>
          <w:szCs w:val="32"/>
        </w:rPr>
      </w:pPr>
    </w:p>
    <w:p w14:paraId="606590C2" w14:textId="77777777" w:rsidR="00CD6BC5" w:rsidRPr="00CD6BC5" w:rsidRDefault="00CD6BC5" w:rsidP="00CD6BC5">
      <w:bookmarkStart w:id="0" w:name="_GoBack"/>
      <w:bookmarkEnd w:id="0"/>
    </w:p>
    <w:sectPr w:rsidR="00CD6BC5" w:rsidRPr="00CD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2030C"/>
    <w:multiLevelType w:val="hybridMultilevel"/>
    <w:tmpl w:val="AA7CCE66"/>
    <w:lvl w:ilvl="0" w:tplc="12F6A9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65"/>
    <w:rsid w:val="000521AF"/>
    <w:rsid w:val="000871B5"/>
    <w:rsid w:val="00144FE9"/>
    <w:rsid w:val="00146C60"/>
    <w:rsid w:val="001862B5"/>
    <w:rsid w:val="002B532F"/>
    <w:rsid w:val="002D4AF8"/>
    <w:rsid w:val="00317FE7"/>
    <w:rsid w:val="00385FB1"/>
    <w:rsid w:val="003E6F37"/>
    <w:rsid w:val="004063F7"/>
    <w:rsid w:val="006339F1"/>
    <w:rsid w:val="006A143A"/>
    <w:rsid w:val="006A6323"/>
    <w:rsid w:val="006B0FC3"/>
    <w:rsid w:val="00707692"/>
    <w:rsid w:val="008107E7"/>
    <w:rsid w:val="00813ADF"/>
    <w:rsid w:val="008E4510"/>
    <w:rsid w:val="0097173F"/>
    <w:rsid w:val="00980C65"/>
    <w:rsid w:val="009D77DC"/>
    <w:rsid w:val="009F70FA"/>
    <w:rsid w:val="00A23544"/>
    <w:rsid w:val="00A63E17"/>
    <w:rsid w:val="00B77A4B"/>
    <w:rsid w:val="00B973FF"/>
    <w:rsid w:val="00BA559B"/>
    <w:rsid w:val="00BE1F63"/>
    <w:rsid w:val="00C21ED2"/>
    <w:rsid w:val="00CD23AA"/>
    <w:rsid w:val="00CD6BC5"/>
    <w:rsid w:val="00CE585A"/>
    <w:rsid w:val="00D24B49"/>
    <w:rsid w:val="00D84B14"/>
    <w:rsid w:val="00D86072"/>
    <w:rsid w:val="00DB6F93"/>
    <w:rsid w:val="00E3775F"/>
    <w:rsid w:val="00E66D6F"/>
    <w:rsid w:val="00F3524B"/>
    <w:rsid w:val="00F9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8A3C"/>
  <w15:docId w15:val="{F0502040-7FA4-41A6-995A-41F02989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C6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D6BC5"/>
    <w:rPr>
      <w:sz w:val="16"/>
      <w:szCs w:val="16"/>
    </w:rPr>
  </w:style>
  <w:style w:type="paragraph" w:styleId="CommentText">
    <w:name w:val="annotation text"/>
    <w:basedOn w:val="Normal"/>
    <w:link w:val="CommentTextChar"/>
    <w:uiPriority w:val="99"/>
    <w:semiHidden/>
    <w:unhideWhenUsed/>
    <w:rsid w:val="00CD6BC5"/>
    <w:pPr>
      <w:spacing w:line="240" w:lineRule="auto"/>
    </w:pPr>
    <w:rPr>
      <w:sz w:val="20"/>
      <w:szCs w:val="20"/>
    </w:rPr>
  </w:style>
  <w:style w:type="character" w:customStyle="1" w:styleId="CommentTextChar">
    <w:name w:val="Comment Text Char"/>
    <w:basedOn w:val="DefaultParagraphFont"/>
    <w:link w:val="CommentText"/>
    <w:uiPriority w:val="99"/>
    <w:semiHidden/>
    <w:rsid w:val="00CD6BC5"/>
    <w:rPr>
      <w:sz w:val="20"/>
      <w:szCs w:val="20"/>
    </w:rPr>
  </w:style>
  <w:style w:type="paragraph" w:styleId="CommentSubject">
    <w:name w:val="annotation subject"/>
    <w:basedOn w:val="CommentText"/>
    <w:next w:val="CommentText"/>
    <w:link w:val="CommentSubjectChar"/>
    <w:uiPriority w:val="99"/>
    <w:semiHidden/>
    <w:unhideWhenUsed/>
    <w:rsid w:val="00CD6BC5"/>
    <w:rPr>
      <w:b/>
      <w:bCs/>
    </w:rPr>
  </w:style>
  <w:style w:type="character" w:customStyle="1" w:styleId="CommentSubjectChar">
    <w:name w:val="Comment Subject Char"/>
    <w:basedOn w:val="CommentTextChar"/>
    <w:link w:val="CommentSubject"/>
    <w:uiPriority w:val="99"/>
    <w:semiHidden/>
    <w:rsid w:val="00CD6BC5"/>
    <w:rPr>
      <w:b/>
      <w:bCs/>
      <w:sz w:val="20"/>
      <w:szCs w:val="20"/>
    </w:rPr>
  </w:style>
  <w:style w:type="paragraph" w:styleId="BalloonText">
    <w:name w:val="Balloon Text"/>
    <w:basedOn w:val="Normal"/>
    <w:link w:val="BalloonTextChar"/>
    <w:uiPriority w:val="99"/>
    <w:semiHidden/>
    <w:unhideWhenUsed/>
    <w:rsid w:val="00CD6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Esposito-Leef</dc:creator>
  <cp:lastModifiedBy>David Esposito</cp:lastModifiedBy>
  <cp:revision>3</cp:revision>
  <dcterms:created xsi:type="dcterms:W3CDTF">2018-10-01T20:33:00Z</dcterms:created>
  <dcterms:modified xsi:type="dcterms:W3CDTF">2018-10-01T20:37:00Z</dcterms:modified>
</cp:coreProperties>
</file>